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sz w:val="80"/>
          <w:szCs w:val="80"/>
          <w:lang w:val="en-US" w:eastAsia="zh-CN"/>
        </w:rPr>
      </w:pPr>
      <w:r>
        <w:rPr>
          <w:rFonts w:hint="eastAsia" w:ascii="方正小标宋简体" w:hAnsi="方正小标宋简体" w:eastAsia="方正小标宋简体" w:cs="方正小标宋简体"/>
          <w:color w:val="FF0000"/>
          <w:sz w:val="80"/>
          <w:szCs w:val="80"/>
          <w:lang w:val="en-US" w:eastAsia="zh-CN"/>
        </w:rPr>
        <w:t>南昌高新区财政工作</w:t>
      </w:r>
    </w:p>
    <w:p>
      <w:pPr>
        <w:jc w:val="center"/>
        <w:rPr>
          <w:rFonts w:hint="eastAsia" w:ascii="方正小标宋简体" w:hAnsi="方正小标宋简体" w:eastAsia="方正小标宋简体" w:cs="方正小标宋简体"/>
          <w:color w:val="FF0000"/>
          <w:sz w:val="40"/>
          <w:szCs w:val="40"/>
          <w:lang w:val="en-US" w:eastAsia="zh-CN"/>
        </w:rPr>
      </w:pPr>
      <w:r>
        <w:rPr>
          <w:rFonts w:hint="eastAsia" w:ascii="方正小标宋简体" w:hAnsi="方正小标宋简体" w:eastAsia="方正小标宋简体" w:cs="方正小标宋简体"/>
          <w:color w:val="FF0000"/>
          <w:sz w:val="80"/>
          <w:szCs w:val="80"/>
          <w:lang w:val="en-US" w:eastAsia="zh-CN"/>
        </w:rPr>
        <w:t>专报信息</w:t>
      </w:r>
      <w:r>
        <w:rPr>
          <w:rFonts w:hint="eastAsia" w:ascii="方正小标宋简体" w:hAnsi="方正小标宋简体" w:eastAsia="方正小标宋简体" w:cs="方正小标宋简体"/>
          <w:color w:val="FF0000"/>
          <w:sz w:val="40"/>
          <w:szCs w:val="40"/>
          <w:lang w:val="en-US" w:eastAsia="zh-CN"/>
        </w:rPr>
        <w:t>（—预算绩效管理）</w:t>
      </w:r>
    </w:p>
    <w:p>
      <w:pPr>
        <w:jc w:val="center"/>
        <w:rPr>
          <w:rFonts w:hint="eastAsia" w:ascii="方正小标宋简体" w:hAnsi="方正小标宋简体" w:eastAsia="方正小标宋简体" w:cs="方正小标宋简体"/>
          <w:color w:val="FF0000"/>
          <w:sz w:val="40"/>
          <w:szCs w:val="40"/>
          <w:lang w:val="en-US" w:eastAsia="zh-CN"/>
        </w:rPr>
      </w:pPr>
    </w:p>
    <w:tbl>
      <w:tblPr>
        <w:tblStyle w:val="6"/>
        <w:tblW w:w="8960" w:type="dxa"/>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0"/>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exact"/>
          <w:jc w:val="center"/>
        </w:trPr>
        <w:tc>
          <w:tcPr>
            <w:tcW w:w="8960" w:type="dxa"/>
            <w:tcBorders>
              <w:tl2br w:val="nil"/>
              <w:tr2bl w:val="nil"/>
            </w:tcBorders>
            <w:noWrap w:val="0"/>
            <w:vAlign w:val="top"/>
          </w:tcPr>
          <w:p>
            <w:pPr>
              <w:keepNext w:val="0"/>
              <w:keepLines w:val="0"/>
              <w:suppressLineNumbers w:val="0"/>
              <w:spacing w:before="0" w:beforeAutospacing="0" w:after="0" w:afterAutospacing="0"/>
              <w:ind w:left="0" w:right="0"/>
              <w:jc w:val="center"/>
              <w:rPr>
                <w:rFonts w:hint="default" w:ascii="方正小标宋简体" w:hAnsi="方正小标宋简体" w:eastAsia="方正小标宋简体" w:cs="方正小标宋简体"/>
                <w:b/>
                <w:bCs/>
                <w:sz w:val="44"/>
                <w:szCs w:val="44"/>
                <w:vertAlign w:val="baseline"/>
                <w:lang w:val="en-US" w:eastAsia="zh-CN"/>
              </w:rPr>
            </w:pPr>
            <w:r>
              <w:rPr>
                <w:rFonts w:hint="eastAsia" w:ascii="仿宋_GB2312" w:hAnsi="仿宋_GB2312" w:eastAsia="仿宋_GB2312" w:cs="仿宋_GB2312"/>
                <w:b/>
                <w:bCs/>
                <w:sz w:val="30"/>
                <w:szCs w:val="30"/>
                <w:lang w:val="en-US" w:eastAsia="zh-CN"/>
              </w:rPr>
              <w:t>南昌高新区财政局                        2021年12月30日</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sz w:val="30"/>
          <w:szCs w:val="30"/>
          <w:lang w:val="en-US" w:eastAsia="zh-CN"/>
        </w:rPr>
      </w:pPr>
    </w:p>
    <w:p>
      <w:pPr>
        <w:jc w:val="both"/>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※【工作动态】※                          领导批示：</w:t>
      </w:r>
    </w:p>
    <w:p>
      <w:pPr>
        <w:keepNext w:val="0"/>
        <w:keepLines w:val="0"/>
        <w:pageBreakBefore w:val="0"/>
        <w:widowControl w:val="0"/>
        <w:kinsoku/>
        <w:wordWrap/>
        <w:overflowPunct/>
        <w:topLinePunct w:val="0"/>
        <w:autoSpaceDE/>
        <w:autoSpaceDN/>
        <w:bidi w:val="0"/>
        <w:adjustRightInd/>
        <w:snapToGrid/>
        <w:spacing w:line="240" w:lineRule="exact"/>
        <w:ind w:right="2205" w:rightChars="105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2205" w:rightChars="105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2021年度南昌高新区预算绩效管理工作情况</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205" w:rightChars="10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2021年，为进一步压实预算支出责任，提高财政资源配置效率和使用效益，加快建成全方位、全过程、全覆盖的预算绩效管理体系，区财政局按照《中共南昌高新区工委  南昌高新区管委会关于全面实施预算绩效管理的实施意见》、《南昌高新区区本级预算部门绩效管理暂行办法》、《南昌高新区财政局关于开展2021年度预算绩效管理有关工作的通知》等文件要求，对2个区本级部门（2020年度预算安排合计0.58亿元）、21个区本级部门项目（2020年度预算安排合计约2.8亿元）开展财政评价，并对4个2021年实施的项目（2021年预算安排0.33652亿元）开展了财政重点监控工作。目前，各项财政绩效管理工作已出具报告，且将存在的问题反馈到各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一、部门整体支出财政重点评价情况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根据工作安排，本年度对南昌（国家）大学科技城管委会和南昌高新区市场监督管理局2020年度部门整体支出开展了财政重点绩效评价工作。评价结果如下：</w:t>
      </w:r>
    </w:p>
    <w:tbl>
      <w:tblPr>
        <w:tblStyle w:val="5"/>
        <w:tblW w:w="10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3"/>
        <w:gridCol w:w="1275"/>
        <w:gridCol w:w="1125"/>
        <w:gridCol w:w="1050"/>
        <w:gridCol w:w="787"/>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预算</w:t>
            </w:r>
          </w:p>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经审查实际安排资金（万元）</w:t>
            </w: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经审查实际使用资金（万元）</w:t>
            </w:r>
          </w:p>
        </w:tc>
        <w:tc>
          <w:tcPr>
            <w:tcW w:w="1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审查评分（分）</w:t>
            </w:r>
          </w:p>
        </w:tc>
        <w:tc>
          <w:tcPr>
            <w:tcW w:w="7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评价等级</w:t>
            </w:r>
          </w:p>
        </w:tc>
        <w:tc>
          <w:tcPr>
            <w:tcW w:w="5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olor w:val="000000"/>
                <w:sz w:val="22"/>
                <w:szCs w:val="22"/>
                <w:u w:val="none"/>
                <w:lang w:val="en-US" w:eastAsia="zh-CN"/>
              </w:rPr>
            </w:pPr>
            <w:r>
              <w:rPr>
                <w:rFonts w:hint="eastAsia" w:ascii="黑体" w:hAnsi="宋体" w:eastAsia="黑体" w:cs="黑体"/>
                <w:i w:val="0"/>
                <w:iCs w:val="0"/>
                <w:color w:val="000000"/>
                <w:sz w:val="22"/>
                <w:szCs w:val="22"/>
                <w:u w:val="none"/>
                <w:lang w:val="en-US" w:eastAsia="zh-CN"/>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南昌（国家）大学科技城管委会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3072.94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2845.97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87.45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良</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1.后续年度部门整体绩效目标的设立应依据充分，符合客观实际，用以考核整体绩效目标与单位履职、年度工作任务的相符性，全面做好绩效目标的制定及申报工作。</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2.加强预算项目申报的管理，合理规划预计所需实施的项目，并严格按计划实施。</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3.严格履行合同约定，遵照约定履行合同义务，行使合同权力，加强付款审查，避免超进度支付。</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4.项目设立时，应当加强项目论证，增强预见性，科学合理制定项目预算。</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5.加强对园区企业的监管，切实督促园区内企业完成协议指标，并制定完整的考核方案，考核流程要具有可查性。</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6.加强对会计制度的学习，正确会计核算，正确反映部门会计信息。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南昌高新区市场监督管理局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3096.67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2975.47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86.08</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良</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1.提高财务管理水平，规范会计核算。</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2.加强业务材料归档及整理。</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3.加大对项目的管理力度。</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二、项目支出财政重点评价情况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作安排，本年度对2020年度区社发局村卫计室和社区卫生服务站建设经费项目、区应急管理局综治工作网格化管理项目等21个项目开展了财政重点绩效评价工作，评价结果整体情况为：4个项目评价分值在90（含）-100分之间，评价等级为“优”；17个项目评价分值在80-90分之间，评价等级为“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经梳理，21个项目中存在的共性问题主要有：</w:t>
      </w:r>
    </w:p>
    <w:p>
      <w:pPr>
        <w:ind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40"/>
          <w:lang w:val="en-US" w:eastAsia="zh-CN"/>
        </w:rPr>
        <w:t>预算申请不科学，执行率低于80%（涉及到13个项目）；</w:t>
      </w:r>
    </w:p>
    <w:p>
      <w:pPr>
        <w:ind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2.专项资金管理办法欠缺，资金管理使用不规范（涉及到16个项目）；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3.主管部门监督监管不到位，项目执行管理不足（涉及到20个项目）；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4.部门预算绩效管理责任意识不强（涉及到14个项目）；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三、财政重点监控情况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作安排，本年度对区法院辅助人员经费项目和区公安分局处突大队公用经费项目1-7月绩效运行、区社发局中央水利发展资金项目和组织部公务员事务项目1-10月绩效运行情况开展了财政重点监控工作，监控情况如下：</w:t>
      </w:r>
    </w:p>
    <w:tbl>
      <w:tblPr>
        <w:tblStyle w:val="5"/>
        <w:tblW w:w="10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9"/>
        <w:gridCol w:w="1575"/>
        <w:gridCol w:w="1635"/>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黑体" w:hAnsi="宋体" w:eastAsia="黑体" w:cs="黑体"/>
                <w:i w:val="0"/>
                <w:iCs w:val="0"/>
                <w:color w:val="000000"/>
                <w:sz w:val="22"/>
                <w:szCs w:val="22"/>
                <w:u w:val="none"/>
                <w:lang w:val="en-US" w:eastAsia="zh-CN"/>
              </w:rPr>
            </w:pPr>
            <w:r>
              <w:rPr>
                <w:rFonts w:hint="eastAsia" w:ascii="黑体" w:hAnsi="宋体" w:eastAsia="黑体" w:cs="黑体"/>
                <w:i w:val="0"/>
                <w:iCs w:val="0"/>
                <w:color w:val="000000"/>
                <w:sz w:val="22"/>
                <w:szCs w:val="22"/>
                <w:u w:val="none"/>
                <w:lang w:val="en-US" w:eastAsia="zh-CN"/>
              </w:rPr>
              <w:t>项目名称</w:t>
            </w:r>
          </w:p>
        </w:tc>
        <w:tc>
          <w:tcPr>
            <w:tcW w:w="1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预算安排资金（万元）</w:t>
            </w:r>
          </w:p>
        </w:tc>
        <w:tc>
          <w:tcPr>
            <w:tcW w:w="1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资金使用（万元）</w:t>
            </w:r>
          </w:p>
        </w:tc>
        <w:tc>
          <w:tcPr>
            <w:tcW w:w="42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olor w:val="000000"/>
                <w:sz w:val="22"/>
                <w:szCs w:val="22"/>
                <w:u w:val="none"/>
                <w:lang w:val="en-US" w:eastAsia="zh-CN"/>
              </w:rPr>
            </w:pPr>
            <w:r>
              <w:rPr>
                <w:rFonts w:hint="eastAsia" w:ascii="黑体" w:hAnsi="宋体" w:eastAsia="黑体" w:cs="黑体"/>
                <w:i w:val="0"/>
                <w:iCs w:val="0"/>
                <w:color w:val="000000"/>
                <w:sz w:val="22"/>
                <w:szCs w:val="22"/>
                <w:u w:val="none"/>
                <w:lang w:val="en-US" w:eastAsia="zh-CN"/>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atLeast"/>
          <w:jc w:val="center"/>
        </w:trPr>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sz w:val="21"/>
                <w:szCs w:val="21"/>
                <w:lang w:val="en-US" w:eastAsia="zh-CN"/>
              </w:rPr>
              <w:t>区法院辅助人员经费项目1-7月绩效运行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280.2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182.21</w:t>
            </w:r>
          </w:p>
        </w:tc>
        <w:tc>
          <w:tcPr>
            <w:tcW w:w="4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1.规范人事用工管理。自聘人员按照相关文件精神执行。</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2.规范人员工资福利待遇。相关人员的工资应按相关文件精神执行。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sz w:val="21"/>
                <w:szCs w:val="21"/>
                <w:lang w:val="en-US" w:eastAsia="zh-CN"/>
              </w:rPr>
              <w:t>区公安分局处突大队公用经费项目1-7月绩效运行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sz w:val="21"/>
                <w:szCs w:val="21"/>
                <w:u w:val="none"/>
                <w:lang w:val="en-US" w:eastAsia="zh-CN"/>
              </w:rPr>
            </w:pPr>
            <w:bookmarkStart w:id="0" w:name="_GoBack"/>
            <w:bookmarkEnd w:id="0"/>
            <w:r>
              <w:rPr>
                <w:rFonts w:hint="eastAsia" w:ascii="仿宋_GB2312" w:hAnsi="仿宋_GB2312" w:eastAsia="仿宋_GB2312" w:cs="仿宋_GB2312"/>
                <w:i w:val="0"/>
                <w:iCs w:val="0"/>
                <w:color w:val="000000"/>
                <w:sz w:val="21"/>
                <w:szCs w:val="21"/>
                <w:u w:val="none"/>
                <w:lang w:val="en-US" w:eastAsia="zh-CN"/>
              </w:rPr>
              <w:t>460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260.013</w:t>
            </w:r>
          </w:p>
        </w:tc>
        <w:tc>
          <w:tcPr>
            <w:tcW w:w="4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1.规范资金使用。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jc w:val="center"/>
        </w:trPr>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区社发局中央水利发展资金项目1-10月绩效运行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2475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1163.7</w:t>
            </w:r>
          </w:p>
        </w:tc>
        <w:tc>
          <w:tcPr>
            <w:tcW w:w="4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1.加快项目资金执行进度，合理安排资金支出计划。</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2.加快项目建设进度。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组织部公务员事务项目1-10月绩效运行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81.9</w:t>
            </w:r>
          </w:p>
        </w:tc>
        <w:tc>
          <w:tcPr>
            <w:tcW w:w="4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1.加快项目资金执行进度，合理安排资金支出计划。</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四、下一步计划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为进一步做好全面预算绩效管理，提高财政资源配置效率和使用效益，增强政府公信力和执行力，拟将从以下三个方面做好相关工作：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一是将绩效评价结果予以适当应用。结合本年度财政绩效管理工作开展情况，对2022年度区级各相关部门预算安排加大审核力度。同时，将非涉密项目予以官网公开，接受社会各界监督。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扩大财政绩效管理覆盖面。选择群众关心的民生项目和社会各界关注的重点建设项目开展财政绩效管理，扩大在“三农”、教育、医疗卫生、节能环保、新农村建设等项目绩效管理的覆盖程度。同时，积极探索将绩效管理不断向政府性基金预算、国有资本经营预算、社保基金预算以及PPP、政府采购、政府购买服务、政府债务项目进行延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持续做好预算绩效管理培训宣传。定期对全区预算单位绩效经办人员和部门领导组织学习预算绩效管理政策，提升绩效参与人员业务水平，提高区级各预算部门预算绩效管理主体责任意识，切实做到“花钱必问效，无效必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附件：2021年财政重点绩效评价情况表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pStyle w:val="4"/>
        <w:keepNext w:val="0"/>
        <w:keepLines w:val="0"/>
        <w:widowControl/>
        <w:suppressLineNumbers w:val="0"/>
        <w:pBdr>
          <w:top w:val="single" w:color="auto" w:sz="4" w:space="0"/>
          <w:left w:val="none" w:color="auto" w:sz="0" w:space="0"/>
          <w:bottom w:val="none" w:color="auto" w:sz="0" w:space="0"/>
          <w:right w:val="none" w:color="auto" w:sz="0" w:space="0"/>
        </w:pBdr>
        <w:wordWrap w:val="0"/>
        <w:spacing w:before="0" w:beforeAutospacing="0" w:after="0" w:afterAutospacing="0"/>
        <w:ind w:left="640" w:right="0" w:hanging="640" w:hangingChars="200"/>
        <w:rPr>
          <w:rFonts w:hint="eastAsia" w:ascii="仿宋_GB2312" w:hAnsi="仿宋_GB2312" w:eastAsia="仿宋_GB2312" w:cs="仿宋_GB2312"/>
          <w:kern w:val="2"/>
          <w:sz w:val="32"/>
          <w:szCs w:val="32"/>
          <w:lang w:val="en-US"/>
        </w:rPr>
      </w:pPr>
      <w:r>
        <w:rPr>
          <w:rFonts w:hint="eastAsia" w:ascii="黑体" w:hAnsi="宋体" w:eastAsia="黑体" w:cs="黑体"/>
          <w:kern w:val="2"/>
          <w:sz w:val="32"/>
          <w:szCs w:val="32"/>
          <w:lang w:eastAsia="zh-CN"/>
        </w:rPr>
        <w:t>报：</w:t>
      </w:r>
      <w:r>
        <w:rPr>
          <w:rFonts w:hint="eastAsia" w:ascii="仿宋_GB2312" w:hAnsi="仿宋_GB2312" w:eastAsia="仿宋_GB2312" w:cs="仿宋_GB2312"/>
          <w:kern w:val="2"/>
          <w:sz w:val="32"/>
          <w:szCs w:val="32"/>
          <w:lang w:eastAsia="zh-CN"/>
        </w:rPr>
        <w:t>王万征，陈艳同志。</w:t>
      </w:r>
    </w:p>
    <w:p>
      <w:pPr>
        <w:keepNext w:val="0"/>
        <w:keepLines w:val="0"/>
        <w:widowControl w:val="0"/>
        <w:suppressLineNumbers w:val="0"/>
        <w:pBdr>
          <w:top w:val="single" w:color="auto" w:sz="4" w:space="0"/>
          <w:left w:val="none" w:color="auto" w:sz="0" w:space="0"/>
          <w:bottom w:val="none" w:color="auto" w:sz="0" w:space="0"/>
          <w:right w:val="none" w:color="auto" w:sz="0" w:space="0"/>
        </w:pBdr>
        <w:spacing w:before="0" w:beforeAutospacing="0" w:after="0" w:afterAutospacing="0"/>
        <w:ind w:left="640" w:right="0" w:hanging="640" w:hangingChars="200"/>
        <w:jc w:val="left"/>
        <w:rPr>
          <w:rFonts w:hint="eastAsia" w:ascii="仿宋_GB2312" w:hAnsi="仿宋_GB2312" w:eastAsia="仿宋_GB2312" w:cs="仿宋_GB2312"/>
          <w:sz w:val="32"/>
          <w:szCs w:val="32"/>
          <w:lang w:val="en-US"/>
        </w:rPr>
      </w:pPr>
      <w:r>
        <w:rPr>
          <w:rFonts w:hint="eastAsia" w:ascii="黑体" w:hAnsi="宋体" w:eastAsia="黑体" w:cs="黑体"/>
          <w:kern w:val="2"/>
          <w:sz w:val="32"/>
          <w:szCs w:val="32"/>
          <w:lang w:val="en-US" w:eastAsia="zh-CN" w:bidi="ar"/>
        </w:rPr>
        <w:t>送：</w:t>
      </w:r>
      <w:r>
        <w:rPr>
          <w:rFonts w:hint="eastAsia" w:ascii="仿宋_GB2312" w:hAnsi="仿宋_GB2312" w:eastAsia="仿宋_GB2312" w:cs="仿宋_GB2312"/>
          <w:kern w:val="2"/>
          <w:sz w:val="32"/>
          <w:szCs w:val="32"/>
          <w:lang w:val="en-US" w:eastAsia="zh-CN" w:bidi="ar"/>
        </w:rPr>
        <w:t>机关各相关部门，艾溪湖管理处，区属各相关单位，驻区各相关机构。</w:t>
      </w:r>
    </w:p>
    <w:p>
      <w:pPr>
        <w:keepNext w:val="0"/>
        <w:keepLines w:val="0"/>
        <w:widowControl w:val="0"/>
        <w:suppressLineNumbers w:val="0"/>
        <w:pBdr>
          <w:top w:val="single" w:color="auto" w:sz="4" w:space="1"/>
          <w:left w:val="none" w:color="auto" w:sz="0" w:space="0"/>
          <w:bottom w:val="single" w:color="auto" w:sz="4" w:space="1"/>
          <w:right w:val="none" w:color="auto" w:sz="0" w:space="0"/>
        </w:pBdr>
        <w:spacing w:before="0" w:beforeAutospacing="0" w:after="0" w:afterAutospacing="0"/>
        <w:ind w:left="0" w:right="0"/>
        <w:jc w:val="left"/>
        <w:rPr>
          <w:rFonts w:hint="default"/>
          <w:lang w:val="en-US"/>
        </w:rPr>
      </w:pPr>
      <w:r>
        <w:rPr>
          <w:rFonts w:hint="eastAsia" w:ascii="黑体" w:hAnsi="宋体" w:eastAsia="黑体" w:cs="黑体"/>
          <w:kern w:val="2"/>
          <w:sz w:val="32"/>
          <w:szCs w:val="32"/>
          <w:lang w:val="en-US" w:eastAsia="zh-CN" w:bidi="ar"/>
        </w:rPr>
        <w:t>签发：</w:t>
      </w:r>
      <w:r>
        <w:rPr>
          <w:rFonts w:hint="eastAsia" w:ascii="仿宋_GB2312" w:hAnsi="宋体" w:eastAsia="仿宋_GB2312" w:cs="仿宋_GB2312"/>
          <w:kern w:val="2"/>
          <w:sz w:val="32"/>
          <w:szCs w:val="32"/>
          <w:lang w:val="en-US" w:eastAsia="zh-CN" w:bidi="ar"/>
        </w:rPr>
        <w:t xml:space="preserve">王珏 </w:t>
      </w:r>
      <w:r>
        <w:rPr>
          <w:rFonts w:hint="eastAsia" w:ascii="黑体" w:hAnsi="宋体" w:eastAsia="黑体" w:cs="黑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w:t>
      </w:r>
      <w:r>
        <w:rPr>
          <w:rFonts w:hint="eastAsia" w:ascii="黑体" w:hAnsi="宋体" w:eastAsia="黑体" w:cs="黑体"/>
          <w:kern w:val="2"/>
          <w:sz w:val="32"/>
          <w:szCs w:val="32"/>
          <w:lang w:val="en-US" w:eastAsia="zh-CN" w:bidi="ar"/>
        </w:rPr>
        <w:t>审核</w:t>
      </w:r>
      <w:r>
        <w:rPr>
          <w:rFonts w:hint="eastAsia" w:ascii="仿宋_GB2312" w:hAnsi="宋体" w:eastAsia="仿宋_GB2312" w:cs="仿宋_GB2312"/>
          <w:kern w:val="2"/>
          <w:sz w:val="32"/>
          <w:szCs w:val="32"/>
          <w:lang w:val="en-US" w:eastAsia="zh-CN" w:bidi="ar"/>
        </w:rPr>
        <w:t xml:space="preserve">：谢波        </w:t>
      </w:r>
      <w:r>
        <w:rPr>
          <w:rFonts w:hint="eastAsia" w:ascii="黑体" w:hAnsi="宋体" w:eastAsia="黑体" w:cs="黑体"/>
          <w:kern w:val="2"/>
          <w:sz w:val="32"/>
          <w:szCs w:val="32"/>
          <w:lang w:val="en-US" w:eastAsia="zh-CN" w:bidi="ar"/>
        </w:rPr>
        <w:t>编校：</w:t>
      </w:r>
      <w:r>
        <w:rPr>
          <w:rFonts w:hint="eastAsia" w:ascii="仿宋_GB2312" w:hAnsi="宋体" w:eastAsia="仿宋_GB2312" w:cs="仿宋_GB2312"/>
          <w:kern w:val="2"/>
          <w:sz w:val="32"/>
          <w:szCs w:val="32"/>
          <w:lang w:val="en-US" w:eastAsia="zh-CN" w:bidi="ar"/>
        </w:rPr>
        <w:t>许忠辉</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527A8"/>
    <w:rsid w:val="00135135"/>
    <w:rsid w:val="00393FC2"/>
    <w:rsid w:val="007A10FE"/>
    <w:rsid w:val="00977B14"/>
    <w:rsid w:val="009E5347"/>
    <w:rsid w:val="00D03026"/>
    <w:rsid w:val="01017684"/>
    <w:rsid w:val="010B4AA5"/>
    <w:rsid w:val="01543C57"/>
    <w:rsid w:val="02082E69"/>
    <w:rsid w:val="02322792"/>
    <w:rsid w:val="023C67F0"/>
    <w:rsid w:val="02E66B31"/>
    <w:rsid w:val="03463A74"/>
    <w:rsid w:val="03D35307"/>
    <w:rsid w:val="03F139E0"/>
    <w:rsid w:val="040C71C6"/>
    <w:rsid w:val="04913361"/>
    <w:rsid w:val="04A62A1C"/>
    <w:rsid w:val="04E452F2"/>
    <w:rsid w:val="05373674"/>
    <w:rsid w:val="057B010C"/>
    <w:rsid w:val="05880374"/>
    <w:rsid w:val="05EB7E58"/>
    <w:rsid w:val="0600615C"/>
    <w:rsid w:val="0671705A"/>
    <w:rsid w:val="067B1C86"/>
    <w:rsid w:val="06D803E2"/>
    <w:rsid w:val="072E6CF9"/>
    <w:rsid w:val="073267E9"/>
    <w:rsid w:val="0733430F"/>
    <w:rsid w:val="073836D3"/>
    <w:rsid w:val="07442078"/>
    <w:rsid w:val="07F97307"/>
    <w:rsid w:val="082F2D28"/>
    <w:rsid w:val="08485B98"/>
    <w:rsid w:val="086C7AD9"/>
    <w:rsid w:val="08B35707"/>
    <w:rsid w:val="091D0DD3"/>
    <w:rsid w:val="0926412B"/>
    <w:rsid w:val="09434CDD"/>
    <w:rsid w:val="09532A47"/>
    <w:rsid w:val="09537B25"/>
    <w:rsid w:val="096F5AD2"/>
    <w:rsid w:val="09B45115"/>
    <w:rsid w:val="09BB0D18"/>
    <w:rsid w:val="09F204B1"/>
    <w:rsid w:val="0A00672A"/>
    <w:rsid w:val="0A0102C7"/>
    <w:rsid w:val="0A0D7099"/>
    <w:rsid w:val="0A747118"/>
    <w:rsid w:val="0A7B0121"/>
    <w:rsid w:val="0AB06B19"/>
    <w:rsid w:val="0B460AB5"/>
    <w:rsid w:val="0BB04180"/>
    <w:rsid w:val="0BB93035"/>
    <w:rsid w:val="0BD84A33"/>
    <w:rsid w:val="0BF24799"/>
    <w:rsid w:val="0C8A49D1"/>
    <w:rsid w:val="0CF76DFF"/>
    <w:rsid w:val="0CFB767D"/>
    <w:rsid w:val="0D6E7E4F"/>
    <w:rsid w:val="0D8A0377"/>
    <w:rsid w:val="0D906017"/>
    <w:rsid w:val="0DD00B0A"/>
    <w:rsid w:val="0DEA1BCB"/>
    <w:rsid w:val="0EA946C0"/>
    <w:rsid w:val="0EBE4E06"/>
    <w:rsid w:val="0F9242C9"/>
    <w:rsid w:val="0FBF4992"/>
    <w:rsid w:val="10066A65"/>
    <w:rsid w:val="10101691"/>
    <w:rsid w:val="1021564D"/>
    <w:rsid w:val="10C5247C"/>
    <w:rsid w:val="10C61D50"/>
    <w:rsid w:val="10D9567A"/>
    <w:rsid w:val="10FE46C9"/>
    <w:rsid w:val="11274EE5"/>
    <w:rsid w:val="112F6D08"/>
    <w:rsid w:val="11934328"/>
    <w:rsid w:val="11F12DFD"/>
    <w:rsid w:val="124F431D"/>
    <w:rsid w:val="12AF5192"/>
    <w:rsid w:val="12E806A4"/>
    <w:rsid w:val="13225964"/>
    <w:rsid w:val="13F37300"/>
    <w:rsid w:val="14292D22"/>
    <w:rsid w:val="142E658A"/>
    <w:rsid w:val="145D2942"/>
    <w:rsid w:val="1461426A"/>
    <w:rsid w:val="14634486"/>
    <w:rsid w:val="147D6BCA"/>
    <w:rsid w:val="14A5684C"/>
    <w:rsid w:val="14CC64D7"/>
    <w:rsid w:val="14EF308A"/>
    <w:rsid w:val="15512530"/>
    <w:rsid w:val="156A2426"/>
    <w:rsid w:val="156D3777"/>
    <w:rsid w:val="15E213DA"/>
    <w:rsid w:val="15FF3150"/>
    <w:rsid w:val="16314110"/>
    <w:rsid w:val="168D57EA"/>
    <w:rsid w:val="16B014D8"/>
    <w:rsid w:val="16BE72E9"/>
    <w:rsid w:val="16ED1CC8"/>
    <w:rsid w:val="16EF3DAF"/>
    <w:rsid w:val="173914CE"/>
    <w:rsid w:val="177D51E8"/>
    <w:rsid w:val="179156EA"/>
    <w:rsid w:val="17AF79E2"/>
    <w:rsid w:val="180A4C18"/>
    <w:rsid w:val="18455C50"/>
    <w:rsid w:val="186E75BA"/>
    <w:rsid w:val="189F1804"/>
    <w:rsid w:val="18B0756E"/>
    <w:rsid w:val="18EE0096"/>
    <w:rsid w:val="19510D51"/>
    <w:rsid w:val="19795A63"/>
    <w:rsid w:val="1A1A226F"/>
    <w:rsid w:val="1A826253"/>
    <w:rsid w:val="1A867F82"/>
    <w:rsid w:val="1AA24AED"/>
    <w:rsid w:val="1AB527A8"/>
    <w:rsid w:val="1ADB658E"/>
    <w:rsid w:val="1B0818E3"/>
    <w:rsid w:val="1B184962"/>
    <w:rsid w:val="1B527F1C"/>
    <w:rsid w:val="1B5E59A7"/>
    <w:rsid w:val="1B7627C1"/>
    <w:rsid w:val="1C3B4E63"/>
    <w:rsid w:val="1C777FEB"/>
    <w:rsid w:val="1C9E08A4"/>
    <w:rsid w:val="1CAD0A13"/>
    <w:rsid w:val="1CB8329F"/>
    <w:rsid w:val="1CBF5BE2"/>
    <w:rsid w:val="1D182F56"/>
    <w:rsid w:val="1D306ECF"/>
    <w:rsid w:val="1D41732E"/>
    <w:rsid w:val="1D96276B"/>
    <w:rsid w:val="1DC75A85"/>
    <w:rsid w:val="1DC87107"/>
    <w:rsid w:val="1DD71A40"/>
    <w:rsid w:val="1E063E2A"/>
    <w:rsid w:val="1E7B6FC7"/>
    <w:rsid w:val="1EB853CE"/>
    <w:rsid w:val="1ED8781E"/>
    <w:rsid w:val="1EDF295B"/>
    <w:rsid w:val="1EF74148"/>
    <w:rsid w:val="1F2E20B0"/>
    <w:rsid w:val="1F3355FA"/>
    <w:rsid w:val="1F552C1D"/>
    <w:rsid w:val="1FBC2C9C"/>
    <w:rsid w:val="200F7270"/>
    <w:rsid w:val="20124055"/>
    <w:rsid w:val="20270A5D"/>
    <w:rsid w:val="204C4020"/>
    <w:rsid w:val="205E3D53"/>
    <w:rsid w:val="206D3F96"/>
    <w:rsid w:val="208C6B12"/>
    <w:rsid w:val="208E65C3"/>
    <w:rsid w:val="20E06E5E"/>
    <w:rsid w:val="215018EE"/>
    <w:rsid w:val="219E4D4F"/>
    <w:rsid w:val="21A954A2"/>
    <w:rsid w:val="21BB6B6D"/>
    <w:rsid w:val="21C10A3D"/>
    <w:rsid w:val="21F229A5"/>
    <w:rsid w:val="22370D00"/>
    <w:rsid w:val="223B3B3A"/>
    <w:rsid w:val="226D64CF"/>
    <w:rsid w:val="22833F45"/>
    <w:rsid w:val="22BB36DF"/>
    <w:rsid w:val="230C7A96"/>
    <w:rsid w:val="23273AC1"/>
    <w:rsid w:val="23635EA6"/>
    <w:rsid w:val="241D0F16"/>
    <w:rsid w:val="243279D1"/>
    <w:rsid w:val="24771887"/>
    <w:rsid w:val="247973AD"/>
    <w:rsid w:val="249022E5"/>
    <w:rsid w:val="24B16B47"/>
    <w:rsid w:val="254E083A"/>
    <w:rsid w:val="2553579E"/>
    <w:rsid w:val="25545725"/>
    <w:rsid w:val="257F0C19"/>
    <w:rsid w:val="25916979"/>
    <w:rsid w:val="259326F1"/>
    <w:rsid w:val="25A16BBC"/>
    <w:rsid w:val="25CB1E8B"/>
    <w:rsid w:val="25EE5B79"/>
    <w:rsid w:val="263537A8"/>
    <w:rsid w:val="26751DF6"/>
    <w:rsid w:val="268C655B"/>
    <w:rsid w:val="269621BC"/>
    <w:rsid w:val="27A72484"/>
    <w:rsid w:val="27DB3EDB"/>
    <w:rsid w:val="281C4C20"/>
    <w:rsid w:val="28520641"/>
    <w:rsid w:val="288D1679"/>
    <w:rsid w:val="28E219C5"/>
    <w:rsid w:val="29347D47"/>
    <w:rsid w:val="293935AF"/>
    <w:rsid w:val="293E7CBB"/>
    <w:rsid w:val="294D3731"/>
    <w:rsid w:val="29932CBF"/>
    <w:rsid w:val="2A157B78"/>
    <w:rsid w:val="2A3E4D11"/>
    <w:rsid w:val="2A4C6304"/>
    <w:rsid w:val="2AB65DB2"/>
    <w:rsid w:val="2AD92954"/>
    <w:rsid w:val="2B920D55"/>
    <w:rsid w:val="2BC453B2"/>
    <w:rsid w:val="2CB573F1"/>
    <w:rsid w:val="2D2D6F87"/>
    <w:rsid w:val="2D6D1A79"/>
    <w:rsid w:val="2E182DA1"/>
    <w:rsid w:val="2E8B21B7"/>
    <w:rsid w:val="2F266384"/>
    <w:rsid w:val="2F2D14C0"/>
    <w:rsid w:val="2F4C1952"/>
    <w:rsid w:val="2F854E58"/>
    <w:rsid w:val="30977539"/>
    <w:rsid w:val="30B654E5"/>
    <w:rsid w:val="30FD3114"/>
    <w:rsid w:val="312863E3"/>
    <w:rsid w:val="318E18E8"/>
    <w:rsid w:val="319121DA"/>
    <w:rsid w:val="31D40319"/>
    <w:rsid w:val="32100A61"/>
    <w:rsid w:val="32902492"/>
    <w:rsid w:val="32C0162F"/>
    <w:rsid w:val="33490893"/>
    <w:rsid w:val="33745910"/>
    <w:rsid w:val="33A45283"/>
    <w:rsid w:val="342F0668"/>
    <w:rsid w:val="343155AF"/>
    <w:rsid w:val="34B47F8E"/>
    <w:rsid w:val="353F1F4D"/>
    <w:rsid w:val="35677CFF"/>
    <w:rsid w:val="35926521"/>
    <w:rsid w:val="35B75F88"/>
    <w:rsid w:val="35DA1C76"/>
    <w:rsid w:val="36280C33"/>
    <w:rsid w:val="362A49AB"/>
    <w:rsid w:val="36940077"/>
    <w:rsid w:val="369938DF"/>
    <w:rsid w:val="36B2731F"/>
    <w:rsid w:val="36D16BD5"/>
    <w:rsid w:val="36D731DB"/>
    <w:rsid w:val="36DA1F2E"/>
    <w:rsid w:val="37372BD4"/>
    <w:rsid w:val="376932B2"/>
    <w:rsid w:val="37C60704"/>
    <w:rsid w:val="37C8622A"/>
    <w:rsid w:val="37C87FD8"/>
    <w:rsid w:val="382611A3"/>
    <w:rsid w:val="3834566E"/>
    <w:rsid w:val="38404012"/>
    <w:rsid w:val="38514471"/>
    <w:rsid w:val="38546C50"/>
    <w:rsid w:val="386F3993"/>
    <w:rsid w:val="389E6F8B"/>
    <w:rsid w:val="38A8605B"/>
    <w:rsid w:val="38B62526"/>
    <w:rsid w:val="38C70290"/>
    <w:rsid w:val="38FA68B7"/>
    <w:rsid w:val="39302A9E"/>
    <w:rsid w:val="39785A2E"/>
    <w:rsid w:val="39C67E27"/>
    <w:rsid w:val="39E772CC"/>
    <w:rsid w:val="3A10097F"/>
    <w:rsid w:val="3A3F654C"/>
    <w:rsid w:val="3A59585F"/>
    <w:rsid w:val="3A6F6E31"/>
    <w:rsid w:val="3AA36ADA"/>
    <w:rsid w:val="3AD35612"/>
    <w:rsid w:val="3AF85078"/>
    <w:rsid w:val="3B2714BA"/>
    <w:rsid w:val="3B4F0A10"/>
    <w:rsid w:val="3B7364AD"/>
    <w:rsid w:val="3BCB453B"/>
    <w:rsid w:val="3BE51E85"/>
    <w:rsid w:val="3C287EC4"/>
    <w:rsid w:val="3C37397E"/>
    <w:rsid w:val="3CAF1767"/>
    <w:rsid w:val="3CB54C1D"/>
    <w:rsid w:val="3CF94689"/>
    <w:rsid w:val="3E097ADE"/>
    <w:rsid w:val="3E42660A"/>
    <w:rsid w:val="3EC60FE9"/>
    <w:rsid w:val="3EDE6333"/>
    <w:rsid w:val="3F0743D7"/>
    <w:rsid w:val="3F5C230A"/>
    <w:rsid w:val="3FB51F2A"/>
    <w:rsid w:val="3FE91433"/>
    <w:rsid w:val="3FF74CD3"/>
    <w:rsid w:val="40104C12"/>
    <w:rsid w:val="402C7059"/>
    <w:rsid w:val="40300E10"/>
    <w:rsid w:val="403443A4"/>
    <w:rsid w:val="406A4D54"/>
    <w:rsid w:val="407F3B46"/>
    <w:rsid w:val="4090365D"/>
    <w:rsid w:val="409F05F2"/>
    <w:rsid w:val="40BA4B7E"/>
    <w:rsid w:val="41343AD7"/>
    <w:rsid w:val="4182569C"/>
    <w:rsid w:val="419D4283"/>
    <w:rsid w:val="421B789E"/>
    <w:rsid w:val="42291FBB"/>
    <w:rsid w:val="422B7AE1"/>
    <w:rsid w:val="424D7E28"/>
    <w:rsid w:val="42756FAE"/>
    <w:rsid w:val="4290203A"/>
    <w:rsid w:val="42A7596F"/>
    <w:rsid w:val="42D00689"/>
    <w:rsid w:val="43171E14"/>
    <w:rsid w:val="43AD4526"/>
    <w:rsid w:val="43FD6282"/>
    <w:rsid w:val="44635CDA"/>
    <w:rsid w:val="447201F3"/>
    <w:rsid w:val="44890AEF"/>
    <w:rsid w:val="44A122DD"/>
    <w:rsid w:val="45863281"/>
    <w:rsid w:val="45A04342"/>
    <w:rsid w:val="45F8417E"/>
    <w:rsid w:val="46114C6D"/>
    <w:rsid w:val="463D4287"/>
    <w:rsid w:val="46B81B60"/>
    <w:rsid w:val="46DD33FE"/>
    <w:rsid w:val="4710374A"/>
    <w:rsid w:val="47217705"/>
    <w:rsid w:val="474338BA"/>
    <w:rsid w:val="4799373F"/>
    <w:rsid w:val="47A10846"/>
    <w:rsid w:val="47A352BD"/>
    <w:rsid w:val="47BB36B5"/>
    <w:rsid w:val="47D26C51"/>
    <w:rsid w:val="47E2428C"/>
    <w:rsid w:val="47E744AA"/>
    <w:rsid w:val="481023DA"/>
    <w:rsid w:val="48164D90"/>
    <w:rsid w:val="48517B76"/>
    <w:rsid w:val="486A0C38"/>
    <w:rsid w:val="486A50DB"/>
    <w:rsid w:val="486A63A7"/>
    <w:rsid w:val="48D03190"/>
    <w:rsid w:val="48F350D1"/>
    <w:rsid w:val="492B486B"/>
    <w:rsid w:val="499E503D"/>
    <w:rsid w:val="49C10D2B"/>
    <w:rsid w:val="4A070E34"/>
    <w:rsid w:val="4A0B07AE"/>
    <w:rsid w:val="4A4A2797"/>
    <w:rsid w:val="4AAF6DD6"/>
    <w:rsid w:val="4AB64608"/>
    <w:rsid w:val="4AE253FD"/>
    <w:rsid w:val="4B0B4954"/>
    <w:rsid w:val="4B410375"/>
    <w:rsid w:val="4B5005B9"/>
    <w:rsid w:val="4B5F6A4E"/>
    <w:rsid w:val="4B680126"/>
    <w:rsid w:val="4BB40B47"/>
    <w:rsid w:val="4BB46D99"/>
    <w:rsid w:val="4C1C493F"/>
    <w:rsid w:val="4C87625C"/>
    <w:rsid w:val="4D1C2C2A"/>
    <w:rsid w:val="4DC039FF"/>
    <w:rsid w:val="4DCD7C9F"/>
    <w:rsid w:val="4E5B0D15"/>
    <w:rsid w:val="4E7D384D"/>
    <w:rsid w:val="4E8A3DE2"/>
    <w:rsid w:val="4F0040A4"/>
    <w:rsid w:val="4F860A4D"/>
    <w:rsid w:val="4FBE094F"/>
    <w:rsid w:val="4FCE4886"/>
    <w:rsid w:val="504C398B"/>
    <w:rsid w:val="5055041F"/>
    <w:rsid w:val="505C355C"/>
    <w:rsid w:val="50C408F8"/>
    <w:rsid w:val="50D70E34"/>
    <w:rsid w:val="50D92DFE"/>
    <w:rsid w:val="51402E7D"/>
    <w:rsid w:val="514C59A8"/>
    <w:rsid w:val="515D758B"/>
    <w:rsid w:val="51881274"/>
    <w:rsid w:val="51A451BA"/>
    <w:rsid w:val="52A01E26"/>
    <w:rsid w:val="52C13B4A"/>
    <w:rsid w:val="53234805"/>
    <w:rsid w:val="532C36B9"/>
    <w:rsid w:val="534F73A8"/>
    <w:rsid w:val="53762B86"/>
    <w:rsid w:val="53806410"/>
    <w:rsid w:val="53AE327A"/>
    <w:rsid w:val="53EE4E13"/>
    <w:rsid w:val="541A79B6"/>
    <w:rsid w:val="54596730"/>
    <w:rsid w:val="548B69EF"/>
    <w:rsid w:val="549E2395"/>
    <w:rsid w:val="55052414"/>
    <w:rsid w:val="556233C2"/>
    <w:rsid w:val="55A25BB9"/>
    <w:rsid w:val="5621327D"/>
    <w:rsid w:val="565F7902"/>
    <w:rsid w:val="570F3DC4"/>
    <w:rsid w:val="5728063B"/>
    <w:rsid w:val="573174F0"/>
    <w:rsid w:val="575B27BF"/>
    <w:rsid w:val="576B0266"/>
    <w:rsid w:val="582232DD"/>
    <w:rsid w:val="58AE4B70"/>
    <w:rsid w:val="58C919AA"/>
    <w:rsid w:val="596A4F3B"/>
    <w:rsid w:val="596B480F"/>
    <w:rsid w:val="59D423B5"/>
    <w:rsid w:val="5A364E1D"/>
    <w:rsid w:val="5A3E3CD2"/>
    <w:rsid w:val="5A93401E"/>
    <w:rsid w:val="5AA75D1B"/>
    <w:rsid w:val="5AB50438"/>
    <w:rsid w:val="5ACC12DE"/>
    <w:rsid w:val="5ACC3DC5"/>
    <w:rsid w:val="5C1D6295"/>
    <w:rsid w:val="5C367357"/>
    <w:rsid w:val="5C3D06E5"/>
    <w:rsid w:val="5C5B6DBD"/>
    <w:rsid w:val="5C5D41D9"/>
    <w:rsid w:val="5CA3620D"/>
    <w:rsid w:val="5D105DFA"/>
    <w:rsid w:val="5D175BAD"/>
    <w:rsid w:val="5D5F6986"/>
    <w:rsid w:val="5D7C348F"/>
    <w:rsid w:val="5DE16714"/>
    <w:rsid w:val="5DE84681"/>
    <w:rsid w:val="5DFF0BF5"/>
    <w:rsid w:val="5EF9576C"/>
    <w:rsid w:val="5F144150"/>
    <w:rsid w:val="5F1871E8"/>
    <w:rsid w:val="5F4A118F"/>
    <w:rsid w:val="5F555D46"/>
    <w:rsid w:val="5FA427DF"/>
    <w:rsid w:val="5FAD5B82"/>
    <w:rsid w:val="604B1057"/>
    <w:rsid w:val="60B85D5A"/>
    <w:rsid w:val="60CF38D6"/>
    <w:rsid w:val="60DA29A7"/>
    <w:rsid w:val="61007F33"/>
    <w:rsid w:val="61370458"/>
    <w:rsid w:val="6166248C"/>
    <w:rsid w:val="617E6A4A"/>
    <w:rsid w:val="618B1EF3"/>
    <w:rsid w:val="61970898"/>
    <w:rsid w:val="61CE1DDF"/>
    <w:rsid w:val="61E6537B"/>
    <w:rsid w:val="623D395E"/>
    <w:rsid w:val="626A02EB"/>
    <w:rsid w:val="63097573"/>
    <w:rsid w:val="631A52DC"/>
    <w:rsid w:val="635F7193"/>
    <w:rsid w:val="63AF0DE6"/>
    <w:rsid w:val="63DE27AE"/>
    <w:rsid w:val="63EE6769"/>
    <w:rsid w:val="63F91396"/>
    <w:rsid w:val="640C325E"/>
    <w:rsid w:val="641A130C"/>
    <w:rsid w:val="64416899"/>
    <w:rsid w:val="64801AA8"/>
    <w:rsid w:val="64A56700"/>
    <w:rsid w:val="64AD03D2"/>
    <w:rsid w:val="65271F32"/>
    <w:rsid w:val="656C5B97"/>
    <w:rsid w:val="65744A4C"/>
    <w:rsid w:val="668A2779"/>
    <w:rsid w:val="66B21CD0"/>
    <w:rsid w:val="670C5A7C"/>
    <w:rsid w:val="6740552D"/>
    <w:rsid w:val="67AB6E4B"/>
    <w:rsid w:val="67F73E3E"/>
    <w:rsid w:val="68126ECA"/>
    <w:rsid w:val="68242759"/>
    <w:rsid w:val="6828049B"/>
    <w:rsid w:val="691E189E"/>
    <w:rsid w:val="694F7CAA"/>
    <w:rsid w:val="69531548"/>
    <w:rsid w:val="695B21AB"/>
    <w:rsid w:val="69635503"/>
    <w:rsid w:val="69823BDB"/>
    <w:rsid w:val="69CA10DE"/>
    <w:rsid w:val="69F50851"/>
    <w:rsid w:val="6A072891"/>
    <w:rsid w:val="6A366774"/>
    <w:rsid w:val="6A7554AA"/>
    <w:rsid w:val="6AB95DDA"/>
    <w:rsid w:val="6ABA1153"/>
    <w:rsid w:val="6BA50055"/>
    <w:rsid w:val="6BAF2C82"/>
    <w:rsid w:val="6BF97A74"/>
    <w:rsid w:val="6C0B610A"/>
    <w:rsid w:val="6C264CF2"/>
    <w:rsid w:val="6C42512E"/>
    <w:rsid w:val="6C580D12"/>
    <w:rsid w:val="6C7A3290"/>
    <w:rsid w:val="6C831059"/>
    <w:rsid w:val="6CD3474E"/>
    <w:rsid w:val="6D4C373D"/>
    <w:rsid w:val="6D592EA5"/>
    <w:rsid w:val="6D68758C"/>
    <w:rsid w:val="6D9C2B58"/>
    <w:rsid w:val="6DD10C8D"/>
    <w:rsid w:val="6E0472B5"/>
    <w:rsid w:val="6E391046"/>
    <w:rsid w:val="6ED21161"/>
    <w:rsid w:val="6ED26257"/>
    <w:rsid w:val="6EEB5D7F"/>
    <w:rsid w:val="6F062BB9"/>
    <w:rsid w:val="6F190B3E"/>
    <w:rsid w:val="6F411E43"/>
    <w:rsid w:val="6F767D3E"/>
    <w:rsid w:val="6F906926"/>
    <w:rsid w:val="70946591"/>
    <w:rsid w:val="70C40F7D"/>
    <w:rsid w:val="70E70F19"/>
    <w:rsid w:val="711823F9"/>
    <w:rsid w:val="7161057A"/>
    <w:rsid w:val="716360A0"/>
    <w:rsid w:val="724C4D86"/>
    <w:rsid w:val="728C7879"/>
    <w:rsid w:val="72936E59"/>
    <w:rsid w:val="72AC1CC9"/>
    <w:rsid w:val="737F118B"/>
    <w:rsid w:val="739E1612"/>
    <w:rsid w:val="73A86934"/>
    <w:rsid w:val="73C17348"/>
    <w:rsid w:val="7513602F"/>
    <w:rsid w:val="75436915"/>
    <w:rsid w:val="75724A54"/>
    <w:rsid w:val="757944D7"/>
    <w:rsid w:val="75C13CDD"/>
    <w:rsid w:val="75F35582"/>
    <w:rsid w:val="761B33ED"/>
    <w:rsid w:val="763D720A"/>
    <w:rsid w:val="765D3A06"/>
    <w:rsid w:val="76807A11"/>
    <w:rsid w:val="76854D0B"/>
    <w:rsid w:val="76DE441B"/>
    <w:rsid w:val="7720462A"/>
    <w:rsid w:val="77707769"/>
    <w:rsid w:val="77C131F0"/>
    <w:rsid w:val="77C27899"/>
    <w:rsid w:val="78083CF1"/>
    <w:rsid w:val="780A6116"/>
    <w:rsid w:val="78462278"/>
    <w:rsid w:val="789C1508"/>
    <w:rsid w:val="78AE452E"/>
    <w:rsid w:val="78ED2CED"/>
    <w:rsid w:val="79352A18"/>
    <w:rsid w:val="79425135"/>
    <w:rsid w:val="79806B68"/>
    <w:rsid w:val="798C770F"/>
    <w:rsid w:val="79AD6A52"/>
    <w:rsid w:val="79F20909"/>
    <w:rsid w:val="7A2C392A"/>
    <w:rsid w:val="7A396538"/>
    <w:rsid w:val="7A682979"/>
    <w:rsid w:val="7A794B87"/>
    <w:rsid w:val="7AB20098"/>
    <w:rsid w:val="7B50466E"/>
    <w:rsid w:val="7BBD6CF5"/>
    <w:rsid w:val="7BD51FFC"/>
    <w:rsid w:val="7BFD4CCC"/>
    <w:rsid w:val="7C0861C2"/>
    <w:rsid w:val="7C0D1A2A"/>
    <w:rsid w:val="7C4D0079"/>
    <w:rsid w:val="7C55517F"/>
    <w:rsid w:val="7C7572B8"/>
    <w:rsid w:val="7CBD66D9"/>
    <w:rsid w:val="7CDD764F"/>
    <w:rsid w:val="7D151E63"/>
    <w:rsid w:val="7D186B94"/>
    <w:rsid w:val="7D545437"/>
    <w:rsid w:val="7DA25B3D"/>
    <w:rsid w:val="7DE8536B"/>
    <w:rsid w:val="7E9E7187"/>
    <w:rsid w:val="7EF40C80"/>
    <w:rsid w:val="7F1255AA"/>
    <w:rsid w:val="7F6000C3"/>
    <w:rsid w:val="7FB4040F"/>
    <w:rsid w:val="7FDE34A0"/>
    <w:rsid w:val="7FFF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2021-12-28T03:45:00Z</dcterms:created>
  <dc:creator>Hello~World</dc:creator>
  <cp:lastModifiedBy>黄婷平</cp:lastModifiedBy>
  <cp:lastPrinted>2021-12-29T10:33:00Z</cp:lastPrinted>
  <dcterms:modified xsi:type="dcterms:W3CDTF">2022-01-20T08:24:54Z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5CF17758C9814B13923D0160823EB89B</vt:lpwstr>
  </property>
</Properties>
</file>