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jc w:val="center"/>
        <w:rPr>
          <w:rFonts w:hint="eastAsia" w:ascii="黑体" w:hAnsi="黑体" w:eastAsia="黑体" w:cs="Times New Roman"/>
          <w:b/>
          <w:bCs/>
          <w:color w:val="000000"/>
          <w:kern w:val="0"/>
          <w:sz w:val="44"/>
          <w:szCs w:val="44"/>
          <w:lang w:eastAsia="zh-CN"/>
        </w:rPr>
      </w:pPr>
      <w:r>
        <w:rPr>
          <w:rFonts w:hint="eastAsia" w:ascii="黑体" w:hAnsi="黑体" w:eastAsia="黑体" w:cs="Times New Roman"/>
          <w:b/>
          <w:bCs/>
          <w:color w:val="000000"/>
          <w:kern w:val="0"/>
          <w:sz w:val="44"/>
          <w:szCs w:val="44"/>
          <w:lang w:eastAsia="zh-CN"/>
        </w:rPr>
        <w:t>南昌（国家）大学科技城管理委员会</w:t>
      </w:r>
    </w:p>
    <w:p>
      <w:pPr>
        <w:widowControl/>
        <w:spacing w:line="520" w:lineRule="atLeast"/>
        <w:jc w:val="center"/>
        <w:rPr>
          <w:rFonts w:ascii="黑体" w:hAnsi="黑体" w:eastAsia="黑体" w:cs="Times New Roman"/>
          <w:b/>
          <w:bCs/>
          <w:color w:val="000000"/>
          <w:kern w:val="0"/>
          <w:sz w:val="44"/>
          <w:szCs w:val="44"/>
        </w:rPr>
      </w:pPr>
      <w:r>
        <w:rPr>
          <w:rFonts w:hint="eastAsia" w:ascii="黑体" w:hAnsi="黑体" w:eastAsia="黑体" w:cs="Times New Roman"/>
          <w:b/>
          <w:bCs/>
          <w:color w:val="000000"/>
          <w:kern w:val="0"/>
          <w:sz w:val="44"/>
          <w:szCs w:val="44"/>
        </w:rPr>
        <w:t>202</w:t>
      </w:r>
      <w:r>
        <w:rPr>
          <w:rFonts w:ascii="黑体" w:hAnsi="黑体" w:eastAsia="黑体" w:cs="Times New Roman"/>
          <w:b/>
          <w:bCs/>
          <w:color w:val="000000"/>
          <w:kern w:val="0"/>
          <w:sz w:val="44"/>
          <w:szCs w:val="44"/>
        </w:rPr>
        <w:t>3</w:t>
      </w:r>
      <w:r>
        <w:rPr>
          <w:rFonts w:hint="eastAsia" w:ascii="黑体" w:hAnsi="黑体" w:eastAsia="黑体" w:cs="Times New Roman"/>
          <w:b/>
          <w:bCs/>
          <w:color w:val="000000"/>
          <w:kern w:val="0"/>
          <w:sz w:val="44"/>
          <w:szCs w:val="44"/>
        </w:rPr>
        <w:t>年单位预算</w:t>
      </w:r>
    </w:p>
    <w:p>
      <w:pPr>
        <w:pStyle w:val="12"/>
        <w:spacing w:line="600" w:lineRule="atLeast"/>
        <w:jc w:val="center"/>
        <w:rPr>
          <w:rFonts w:ascii="黑体" w:hAnsi="黑体" w:eastAsia="黑体"/>
          <w:color w:val="000000"/>
          <w:sz w:val="32"/>
          <w:szCs w:val="32"/>
        </w:rPr>
      </w:pPr>
    </w:p>
    <w:p>
      <w:pPr>
        <w:pStyle w:val="12"/>
        <w:keepNext w:val="0"/>
        <w:keepLines w:val="0"/>
        <w:pageBreakBefore w:val="0"/>
        <w:widowControl/>
        <w:kinsoku/>
        <w:wordWrap/>
        <w:overflowPunct/>
        <w:topLinePunct w:val="0"/>
        <w:autoSpaceDE/>
        <w:autoSpaceDN/>
        <w:bidi w:val="0"/>
        <w:adjustRightInd/>
        <w:snapToGrid/>
        <w:spacing w:line="460" w:lineRule="exact"/>
        <w:jc w:val="center"/>
        <w:textAlignment w:val="auto"/>
        <w:rPr>
          <w:rFonts w:ascii="黑体" w:hAnsi="黑体" w:eastAsia="黑体"/>
          <w:color w:val="000000"/>
          <w:sz w:val="32"/>
          <w:szCs w:val="32"/>
        </w:rPr>
      </w:pPr>
      <w:r>
        <w:rPr>
          <w:rFonts w:hint="eastAsia" w:ascii="黑体" w:hAnsi="黑体" w:eastAsia="黑体"/>
          <w:color w:val="000000"/>
          <w:sz w:val="32"/>
          <w:szCs w:val="32"/>
        </w:rPr>
        <w:t>目    录</w:t>
      </w:r>
    </w:p>
    <w:p>
      <w:pPr>
        <w:pStyle w:val="12"/>
        <w:keepNext w:val="0"/>
        <w:keepLines w:val="0"/>
        <w:pageBreakBefore w:val="0"/>
        <w:widowControl/>
        <w:kinsoku/>
        <w:wordWrap/>
        <w:overflowPunct/>
        <w:topLinePunct w:val="0"/>
        <w:autoSpaceDE/>
        <w:autoSpaceDN/>
        <w:bidi w:val="0"/>
        <w:adjustRightInd/>
        <w:snapToGrid/>
        <w:spacing w:line="460" w:lineRule="exact"/>
        <w:textAlignment w:val="auto"/>
        <w:rPr>
          <w:rFonts w:ascii="宋体" w:hAnsi="宋体"/>
          <w:color w:val="000000"/>
        </w:rPr>
      </w:pPr>
    </w:p>
    <w:p>
      <w:pPr>
        <w:pStyle w:val="12"/>
        <w:keepNext w:val="0"/>
        <w:keepLines w:val="0"/>
        <w:pageBreakBefore w:val="0"/>
        <w:widowControl/>
        <w:tabs>
          <w:tab w:val="right" w:pos="8306"/>
        </w:tabs>
        <w:kinsoku/>
        <w:wordWrap/>
        <w:overflowPunct/>
        <w:topLinePunct w:val="0"/>
        <w:autoSpaceDE/>
        <w:autoSpaceDN/>
        <w:bidi w:val="0"/>
        <w:adjustRightInd/>
        <w:snapToGrid/>
        <w:spacing w:line="500" w:lineRule="exact"/>
        <w:ind w:firstLine="640"/>
        <w:jc w:val="left"/>
        <w:textAlignment w:val="auto"/>
        <w:rPr>
          <w:rFonts w:ascii="仿宋_GB2312" w:eastAsia="仿宋_GB2312"/>
          <w:b/>
          <w:bCs/>
          <w:color w:val="000000"/>
          <w:sz w:val="32"/>
          <w:szCs w:val="32"/>
        </w:rPr>
      </w:pPr>
      <w:r>
        <w:rPr>
          <w:rFonts w:hint="eastAsia" w:ascii="仿宋_GB2312" w:eastAsia="仿宋_GB2312"/>
          <w:b/>
          <w:bCs/>
          <w:color w:val="000000"/>
          <w:sz w:val="32"/>
          <w:szCs w:val="32"/>
        </w:rPr>
        <w:t xml:space="preserve">第一部分  </w:t>
      </w:r>
      <w:r>
        <w:rPr>
          <w:rFonts w:hint="eastAsia" w:ascii="仿宋_GB2312" w:eastAsia="仿宋_GB2312"/>
          <w:b/>
          <w:bCs/>
          <w:color w:val="000000"/>
          <w:sz w:val="32"/>
          <w:szCs w:val="32"/>
          <w:lang w:eastAsia="zh-CN"/>
        </w:rPr>
        <w:t>南昌（国家）大学科技城管理委员会</w:t>
      </w:r>
      <w:r>
        <w:rPr>
          <w:rFonts w:hint="eastAsia" w:ascii="仿宋_GB2312" w:eastAsia="仿宋_GB2312"/>
          <w:b/>
          <w:bCs/>
          <w:color w:val="000000"/>
          <w:sz w:val="32"/>
          <w:szCs w:val="32"/>
        </w:rPr>
        <w:t>概况</w:t>
      </w:r>
      <w:r>
        <w:rPr>
          <w:rFonts w:ascii="仿宋_GB2312" w:eastAsia="仿宋_GB2312"/>
          <w:b/>
          <w:bCs/>
          <w:color w:val="000000"/>
          <w:sz w:val="32"/>
          <w:szCs w:val="32"/>
        </w:rPr>
        <w:tab/>
      </w:r>
    </w:p>
    <w:p>
      <w:pPr>
        <w:pStyle w:val="12"/>
        <w:keepNext w:val="0"/>
        <w:keepLines w:val="0"/>
        <w:pageBreakBefore w:val="0"/>
        <w:widowControl/>
        <w:kinsoku/>
        <w:wordWrap/>
        <w:overflowPunct/>
        <w:topLinePunct w:val="0"/>
        <w:autoSpaceDE/>
        <w:autoSpaceDN/>
        <w:bidi w:val="0"/>
        <w:adjustRightInd/>
        <w:snapToGrid/>
        <w:spacing w:line="500" w:lineRule="exact"/>
        <w:ind w:firstLine="1120" w:firstLineChars="350"/>
        <w:jc w:val="left"/>
        <w:textAlignment w:val="auto"/>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 xml:space="preserve"> </w:t>
      </w:r>
      <w:r>
        <w:rPr>
          <w:rFonts w:ascii="Adobe 仿宋 Std R" w:hAnsi="Adobe 仿宋 Std R" w:eastAsia="Adobe 仿宋 Std R" w:cstheme="minorBidi"/>
          <w:kern w:val="2"/>
          <w:sz w:val="32"/>
          <w:szCs w:val="30"/>
        </w:rPr>
        <w:t>一、</w:t>
      </w:r>
      <w:r>
        <w:rPr>
          <w:rFonts w:hint="eastAsia" w:ascii="Adobe 仿宋 Std R" w:hAnsi="Adobe 仿宋 Std R" w:eastAsia="Adobe 仿宋 Std R" w:cstheme="minorBidi"/>
          <w:kern w:val="2"/>
          <w:sz w:val="32"/>
          <w:szCs w:val="30"/>
        </w:rPr>
        <w:t>单位</w:t>
      </w:r>
      <w:r>
        <w:rPr>
          <w:rFonts w:ascii="Adobe 仿宋 Std R" w:hAnsi="Adobe 仿宋 Std R" w:eastAsia="Adobe 仿宋 Std R" w:cstheme="minorBidi"/>
          <w:kern w:val="2"/>
          <w:sz w:val="32"/>
          <w:szCs w:val="30"/>
        </w:rPr>
        <w:t>主要职责</w:t>
      </w:r>
    </w:p>
    <w:p>
      <w:pPr>
        <w:pStyle w:val="12"/>
        <w:keepNext w:val="0"/>
        <w:keepLines w:val="0"/>
        <w:pageBreakBefore w:val="0"/>
        <w:widowControl/>
        <w:kinsoku/>
        <w:wordWrap/>
        <w:overflowPunct/>
        <w:topLinePunct w:val="0"/>
        <w:autoSpaceDE/>
        <w:autoSpaceDN/>
        <w:bidi w:val="0"/>
        <w:adjustRightInd/>
        <w:snapToGrid/>
        <w:spacing w:line="500" w:lineRule="exact"/>
        <w:ind w:firstLine="1280" w:firstLineChars="400"/>
        <w:jc w:val="left"/>
        <w:textAlignment w:val="auto"/>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w:t>
      </w:r>
      <w:r>
        <w:rPr>
          <w:rFonts w:hint="eastAsia" w:ascii="Adobe 仿宋 Std R" w:hAnsi="Adobe 仿宋 Std R" w:eastAsia="Adobe 仿宋 Std R" w:cstheme="minorBidi"/>
          <w:kern w:val="2"/>
          <w:sz w:val="32"/>
          <w:szCs w:val="30"/>
        </w:rPr>
        <w:t>机构设置及人员情况</w:t>
      </w:r>
    </w:p>
    <w:p>
      <w:pPr>
        <w:pStyle w:val="12"/>
        <w:keepNext w:val="0"/>
        <w:keepLines w:val="0"/>
        <w:pageBreakBefore w:val="0"/>
        <w:widowControl/>
        <w:kinsoku/>
        <w:wordWrap/>
        <w:overflowPunct/>
        <w:topLinePunct w:val="0"/>
        <w:autoSpaceDE/>
        <w:autoSpaceDN/>
        <w:bidi w:val="0"/>
        <w:adjustRightInd/>
        <w:snapToGrid/>
        <w:spacing w:line="500" w:lineRule="exact"/>
        <w:ind w:firstLine="640"/>
        <w:jc w:val="left"/>
        <w:textAlignment w:val="auto"/>
        <w:rPr>
          <w:rFonts w:ascii="仿宋_GB2312" w:eastAsia="仿宋_GB2312"/>
          <w:b/>
          <w:bCs/>
          <w:color w:val="000000"/>
          <w:sz w:val="32"/>
          <w:szCs w:val="32"/>
        </w:rPr>
      </w:pPr>
      <w:r>
        <w:rPr>
          <w:rFonts w:hint="eastAsia" w:ascii="仿宋_GB2312" w:eastAsia="仿宋_GB2312"/>
          <w:b/>
          <w:bCs/>
          <w:color w:val="000000"/>
          <w:sz w:val="32"/>
          <w:szCs w:val="32"/>
        </w:rPr>
        <w:t xml:space="preserve">第二部分  </w:t>
      </w:r>
      <w:r>
        <w:rPr>
          <w:rFonts w:hint="eastAsia" w:ascii="仿宋_GB2312" w:eastAsia="仿宋_GB2312"/>
          <w:b/>
          <w:bCs/>
          <w:color w:val="000000"/>
          <w:sz w:val="32"/>
          <w:szCs w:val="32"/>
          <w:lang w:eastAsia="zh-CN"/>
        </w:rPr>
        <w:t>南昌（国家）大学科技城管理委员会</w:t>
      </w:r>
      <w:r>
        <w:rPr>
          <w:rFonts w:hint="eastAsia" w:ascii="仿宋_GB2312" w:eastAsia="仿宋_GB2312"/>
          <w:b/>
          <w:bCs/>
          <w:color w:val="000000"/>
          <w:sz w:val="32"/>
          <w:szCs w:val="32"/>
        </w:rPr>
        <w:t>202</w:t>
      </w:r>
      <w:r>
        <w:rPr>
          <w:rFonts w:ascii="仿宋_GB2312" w:eastAsia="仿宋_GB2312"/>
          <w:b/>
          <w:bCs/>
          <w:color w:val="000000"/>
          <w:sz w:val="32"/>
          <w:szCs w:val="32"/>
        </w:rPr>
        <w:t>3</w:t>
      </w:r>
      <w:r>
        <w:rPr>
          <w:rFonts w:hint="eastAsia" w:ascii="仿宋_GB2312" w:eastAsia="仿宋_GB2312"/>
          <w:b/>
          <w:bCs/>
          <w:color w:val="000000"/>
          <w:sz w:val="32"/>
          <w:szCs w:val="32"/>
        </w:rPr>
        <w:t>年单位预算表</w:t>
      </w:r>
    </w:p>
    <w:p>
      <w:pPr>
        <w:pStyle w:val="12"/>
        <w:keepNext w:val="0"/>
        <w:keepLines w:val="0"/>
        <w:pageBreakBefore w:val="0"/>
        <w:widowControl/>
        <w:kinsoku/>
        <w:wordWrap/>
        <w:overflowPunct/>
        <w:topLinePunct w:val="0"/>
        <w:autoSpaceDE/>
        <w:autoSpaceDN/>
        <w:bidi w:val="0"/>
        <w:adjustRightInd/>
        <w:snapToGrid/>
        <w:spacing w:line="500" w:lineRule="exact"/>
        <w:ind w:firstLine="1280"/>
        <w:jc w:val="left"/>
        <w:textAlignment w:val="auto"/>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一、《收支预算总表》</w:t>
      </w:r>
    </w:p>
    <w:p>
      <w:pPr>
        <w:pStyle w:val="12"/>
        <w:keepNext w:val="0"/>
        <w:keepLines w:val="0"/>
        <w:pageBreakBefore w:val="0"/>
        <w:widowControl/>
        <w:kinsoku/>
        <w:wordWrap/>
        <w:overflowPunct/>
        <w:topLinePunct w:val="0"/>
        <w:autoSpaceDE/>
        <w:autoSpaceDN/>
        <w:bidi w:val="0"/>
        <w:adjustRightInd/>
        <w:snapToGrid/>
        <w:spacing w:line="500" w:lineRule="exact"/>
        <w:ind w:firstLine="1280"/>
        <w:jc w:val="left"/>
        <w:textAlignment w:val="auto"/>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二、《</w:t>
      </w:r>
      <w:r>
        <w:rPr>
          <w:rFonts w:hint="eastAsia" w:ascii="Adobe 仿宋 Std R" w:hAnsi="Adobe 仿宋 Std R" w:eastAsia="Adobe 仿宋 Std R" w:cstheme="minorBidi"/>
          <w:kern w:val="2"/>
          <w:sz w:val="32"/>
          <w:szCs w:val="30"/>
        </w:rPr>
        <w:t>单位</w:t>
      </w:r>
      <w:r>
        <w:rPr>
          <w:rFonts w:ascii="Adobe 仿宋 Std R" w:hAnsi="Adobe 仿宋 Std R" w:eastAsia="Adobe 仿宋 Std R" w:cstheme="minorBidi"/>
          <w:kern w:val="2"/>
          <w:sz w:val="32"/>
          <w:szCs w:val="30"/>
        </w:rPr>
        <w:t>收入总表》</w:t>
      </w:r>
    </w:p>
    <w:p>
      <w:pPr>
        <w:pStyle w:val="12"/>
        <w:keepNext w:val="0"/>
        <w:keepLines w:val="0"/>
        <w:pageBreakBefore w:val="0"/>
        <w:widowControl/>
        <w:kinsoku/>
        <w:wordWrap/>
        <w:overflowPunct/>
        <w:topLinePunct w:val="0"/>
        <w:autoSpaceDE/>
        <w:autoSpaceDN/>
        <w:bidi w:val="0"/>
        <w:adjustRightInd/>
        <w:snapToGrid/>
        <w:spacing w:line="500" w:lineRule="exact"/>
        <w:ind w:firstLine="1280"/>
        <w:jc w:val="left"/>
        <w:textAlignment w:val="auto"/>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三、《</w:t>
      </w:r>
      <w:r>
        <w:rPr>
          <w:rFonts w:hint="eastAsia" w:ascii="Adobe 仿宋 Std R" w:hAnsi="Adobe 仿宋 Std R" w:eastAsia="Adobe 仿宋 Std R" w:cstheme="minorBidi"/>
          <w:kern w:val="2"/>
          <w:sz w:val="32"/>
          <w:szCs w:val="30"/>
        </w:rPr>
        <w:t>单位</w:t>
      </w:r>
      <w:r>
        <w:rPr>
          <w:rFonts w:ascii="Adobe 仿宋 Std R" w:hAnsi="Adobe 仿宋 Std R" w:eastAsia="Adobe 仿宋 Std R" w:cstheme="minorBidi"/>
          <w:kern w:val="2"/>
          <w:sz w:val="32"/>
          <w:szCs w:val="30"/>
        </w:rPr>
        <w:t>支出总表》</w:t>
      </w:r>
    </w:p>
    <w:p>
      <w:pPr>
        <w:pStyle w:val="12"/>
        <w:keepNext w:val="0"/>
        <w:keepLines w:val="0"/>
        <w:pageBreakBefore w:val="0"/>
        <w:widowControl/>
        <w:kinsoku/>
        <w:wordWrap/>
        <w:overflowPunct/>
        <w:topLinePunct w:val="0"/>
        <w:autoSpaceDE/>
        <w:autoSpaceDN/>
        <w:bidi w:val="0"/>
        <w:adjustRightInd/>
        <w:snapToGrid/>
        <w:spacing w:line="500" w:lineRule="exact"/>
        <w:ind w:firstLine="1280"/>
        <w:jc w:val="left"/>
        <w:textAlignment w:val="auto"/>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四、《财政拨款收支总表》</w:t>
      </w:r>
    </w:p>
    <w:p>
      <w:pPr>
        <w:pStyle w:val="12"/>
        <w:keepNext w:val="0"/>
        <w:keepLines w:val="0"/>
        <w:pageBreakBefore w:val="0"/>
        <w:widowControl/>
        <w:kinsoku/>
        <w:wordWrap/>
        <w:overflowPunct/>
        <w:topLinePunct w:val="0"/>
        <w:autoSpaceDE/>
        <w:autoSpaceDN/>
        <w:bidi w:val="0"/>
        <w:adjustRightInd/>
        <w:snapToGrid/>
        <w:spacing w:line="500" w:lineRule="exact"/>
        <w:ind w:firstLine="1280"/>
        <w:jc w:val="left"/>
        <w:textAlignment w:val="auto"/>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五、《一般公共预算支出表》</w:t>
      </w:r>
    </w:p>
    <w:p>
      <w:pPr>
        <w:pStyle w:val="12"/>
        <w:keepNext w:val="0"/>
        <w:keepLines w:val="0"/>
        <w:pageBreakBefore w:val="0"/>
        <w:widowControl/>
        <w:kinsoku/>
        <w:wordWrap/>
        <w:overflowPunct/>
        <w:topLinePunct w:val="0"/>
        <w:autoSpaceDE/>
        <w:autoSpaceDN/>
        <w:bidi w:val="0"/>
        <w:adjustRightInd/>
        <w:snapToGrid/>
        <w:spacing w:line="500" w:lineRule="exact"/>
        <w:ind w:firstLine="1280"/>
        <w:jc w:val="left"/>
        <w:textAlignment w:val="auto"/>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六、《一般公共预算基本支出表》</w:t>
      </w:r>
    </w:p>
    <w:p>
      <w:pPr>
        <w:pStyle w:val="12"/>
        <w:keepNext w:val="0"/>
        <w:keepLines w:val="0"/>
        <w:pageBreakBefore w:val="0"/>
        <w:widowControl/>
        <w:kinsoku/>
        <w:wordWrap/>
        <w:overflowPunct/>
        <w:topLinePunct w:val="0"/>
        <w:autoSpaceDE/>
        <w:autoSpaceDN/>
        <w:bidi w:val="0"/>
        <w:adjustRightInd/>
        <w:snapToGrid/>
        <w:spacing w:line="500" w:lineRule="exact"/>
        <w:ind w:firstLine="1280"/>
        <w:jc w:val="left"/>
        <w:textAlignment w:val="auto"/>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七、《财政拨款“三公”经费支出表》</w:t>
      </w:r>
    </w:p>
    <w:p>
      <w:pPr>
        <w:pStyle w:val="12"/>
        <w:keepNext w:val="0"/>
        <w:keepLines w:val="0"/>
        <w:pageBreakBefore w:val="0"/>
        <w:widowControl/>
        <w:kinsoku/>
        <w:wordWrap/>
        <w:overflowPunct/>
        <w:topLinePunct w:val="0"/>
        <w:autoSpaceDE/>
        <w:autoSpaceDN/>
        <w:bidi w:val="0"/>
        <w:adjustRightInd/>
        <w:snapToGrid/>
        <w:spacing w:line="500" w:lineRule="exact"/>
        <w:ind w:firstLine="1280"/>
        <w:jc w:val="left"/>
        <w:textAlignment w:val="auto"/>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八、《政府性基金预算支出表》</w:t>
      </w:r>
    </w:p>
    <w:p>
      <w:pPr>
        <w:pStyle w:val="12"/>
        <w:keepNext w:val="0"/>
        <w:keepLines w:val="0"/>
        <w:pageBreakBefore w:val="0"/>
        <w:widowControl/>
        <w:tabs>
          <w:tab w:val="left" w:pos="6546"/>
        </w:tabs>
        <w:kinsoku/>
        <w:wordWrap/>
        <w:overflowPunct/>
        <w:topLinePunct w:val="0"/>
        <w:autoSpaceDE/>
        <w:autoSpaceDN/>
        <w:bidi w:val="0"/>
        <w:adjustRightInd/>
        <w:snapToGrid/>
        <w:spacing w:line="500" w:lineRule="exact"/>
        <w:ind w:firstLine="1280"/>
        <w:jc w:val="left"/>
        <w:textAlignment w:val="auto"/>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九、《</w:t>
      </w:r>
      <w:r>
        <w:rPr>
          <w:rFonts w:hint="eastAsia" w:ascii="Adobe 仿宋 Std R" w:hAnsi="Adobe 仿宋 Std R" w:eastAsia="Adobe 仿宋 Std R" w:cstheme="minorBidi"/>
          <w:kern w:val="2"/>
          <w:sz w:val="32"/>
          <w:szCs w:val="30"/>
        </w:rPr>
        <w:t>国有资本经营</w:t>
      </w:r>
      <w:r>
        <w:rPr>
          <w:rFonts w:ascii="Adobe 仿宋 Std R" w:hAnsi="Adobe 仿宋 Std R" w:eastAsia="Adobe 仿宋 Std R" w:cstheme="minorBidi"/>
          <w:kern w:val="2"/>
          <w:sz w:val="32"/>
          <w:szCs w:val="30"/>
        </w:rPr>
        <w:t>预算支出表》</w:t>
      </w:r>
      <w:r>
        <w:rPr>
          <w:rFonts w:hint="eastAsia" w:ascii="Adobe 仿宋 Std R" w:hAnsi="Adobe 仿宋 Std R" w:eastAsia="Adobe 仿宋 Std R" w:cstheme="minorBidi"/>
          <w:kern w:val="2"/>
          <w:sz w:val="32"/>
          <w:szCs w:val="30"/>
        </w:rPr>
        <w:tab/>
      </w:r>
    </w:p>
    <w:p>
      <w:pPr>
        <w:pStyle w:val="12"/>
        <w:keepNext w:val="0"/>
        <w:keepLines w:val="0"/>
        <w:pageBreakBefore w:val="0"/>
        <w:widowControl/>
        <w:tabs>
          <w:tab w:val="left" w:pos="6546"/>
        </w:tabs>
        <w:kinsoku/>
        <w:wordWrap/>
        <w:overflowPunct/>
        <w:topLinePunct w:val="0"/>
        <w:autoSpaceDE/>
        <w:autoSpaceDN/>
        <w:bidi w:val="0"/>
        <w:adjustRightInd/>
        <w:snapToGrid/>
        <w:spacing w:line="500" w:lineRule="exact"/>
        <w:ind w:firstLine="1280"/>
        <w:jc w:val="left"/>
        <w:textAlignment w:val="auto"/>
        <w:rPr>
          <w:rFonts w:ascii="Adobe 仿宋 Std R" w:hAnsi="Adobe 仿宋 Std R" w:eastAsia="Adobe 仿宋 Std R" w:cstheme="minorBidi"/>
          <w:kern w:val="2"/>
          <w:sz w:val="32"/>
          <w:szCs w:val="30"/>
        </w:rPr>
      </w:pPr>
      <w:r>
        <w:rPr>
          <w:rFonts w:hint="eastAsia" w:ascii="Adobe 仿宋 Std R" w:hAnsi="Adobe 仿宋 Std R" w:eastAsia="Adobe 仿宋 Std R" w:cstheme="minorBidi"/>
          <w:kern w:val="2"/>
          <w:sz w:val="32"/>
          <w:szCs w:val="30"/>
        </w:rPr>
        <w:t>十、</w:t>
      </w:r>
      <w:r>
        <w:rPr>
          <w:rFonts w:ascii="Adobe 仿宋 Std R" w:hAnsi="Adobe 仿宋 Std R" w:eastAsia="Adobe 仿宋 Std R" w:cstheme="minorBidi"/>
          <w:kern w:val="2"/>
          <w:sz w:val="32"/>
          <w:szCs w:val="30"/>
        </w:rPr>
        <w:t>《</w:t>
      </w:r>
      <w:r>
        <w:rPr>
          <w:rFonts w:hint="eastAsia" w:ascii="Adobe 仿宋 Std R" w:hAnsi="Adobe 仿宋 Std R" w:eastAsia="Adobe 仿宋 Std R" w:cstheme="minorBidi"/>
          <w:kern w:val="2"/>
          <w:sz w:val="32"/>
          <w:szCs w:val="30"/>
        </w:rPr>
        <w:t>项目绩效目标表</w:t>
      </w:r>
      <w:r>
        <w:rPr>
          <w:rFonts w:ascii="Adobe 仿宋 Std R" w:hAnsi="Adobe 仿宋 Std R" w:eastAsia="Adobe 仿宋 Std R" w:cstheme="minorBidi"/>
          <w:kern w:val="2"/>
          <w:sz w:val="32"/>
          <w:szCs w:val="30"/>
        </w:rPr>
        <w:t>》</w:t>
      </w:r>
    </w:p>
    <w:p>
      <w:pPr>
        <w:pStyle w:val="12"/>
        <w:keepNext w:val="0"/>
        <w:keepLines w:val="0"/>
        <w:pageBreakBefore w:val="0"/>
        <w:widowControl/>
        <w:kinsoku/>
        <w:wordWrap/>
        <w:overflowPunct/>
        <w:topLinePunct w:val="0"/>
        <w:autoSpaceDE/>
        <w:autoSpaceDN/>
        <w:bidi w:val="0"/>
        <w:adjustRightInd/>
        <w:snapToGrid/>
        <w:spacing w:line="500" w:lineRule="exact"/>
        <w:ind w:firstLine="640"/>
        <w:jc w:val="left"/>
        <w:textAlignment w:val="auto"/>
        <w:rPr>
          <w:rFonts w:ascii="仿宋_GB2312" w:eastAsia="仿宋_GB2312"/>
          <w:b/>
          <w:bCs/>
          <w:color w:val="000000"/>
          <w:sz w:val="32"/>
          <w:szCs w:val="32"/>
        </w:rPr>
      </w:pPr>
      <w:r>
        <w:rPr>
          <w:rFonts w:hint="eastAsia" w:ascii="仿宋_GB2312" w:eastAsia="仿宋_GB2312"/>
          <w:b/>
          <w:bCs/>
          <w:color w:val="000000"/>
          <w:sz w:val="32"/>
          <w:szCs w:val="32"/>
        </w:rPr>
        <w:t xml:space="preserve">第三部分 </w:t>
      </w:r>
      <w:r>
        <w:rPr>
          <w:rFonts w:hint="eastAsia" w:ascii="仿宋_GB2312" w:eastAsia="仿宋_GB2312"/>
          <w:b/>
          <w:bCs/>
          <w:color w:val="000000"/>
          <w:sz w:val="32"/>
          <w:szCs w:val="32"/>
          <w:lang w:eastAsia="zh-CN"/>
        </w:rPr>
        <w:t>南昌（国家）大学科技城管理委员会</w:t>
      </w:r>
      <w:r>
        <w:rPr>
          <w:rFonts w:hint="eastAsia" w:ascii="仿宋_GB2312" w:eastAsia="仿宋_GB2312"/>
          <w:b/>
          <w:bCs/>
          <w:color w:val="000000"/>
          <w:sz w:val="32"/>
          <w:szCs w:val="32"/>
        </w:rPr>
        <w:t>202</w:t>
      </w:r>
      <w:r>
        <w:rPr>
          <w:rFonts w:ascii="仿宋_GB2312" w:eastAsia="仿宋_GB2312"/>
          <w:b/>
          <w:bCs/>
          <w:color w:val="000000"/>
          <w:sz w:val="32"/>
          <w:szCs w:val="32"/>
        </w:rPr>
        <w:t>3</w:t>
      </w:r>
      <w:r>
        <w:rPr>
          <w:rFonts w:hint="eastAsia" w:ascii="仿宋_GB2312" w:eastAsia="仿宋_GB2312"/>
          <w:b/>
          <w:bCs/>
          <w:color w:val="000000"/>
          <w:sz w:val="32"/>
          <w:szCs w:val="32"/>
        </w:rPr>
        <w:t>年单位预算情况说明</w:t>
      </w:r>
    </w:p>
    <w:p>
      <w:pPr>
        <w:pStyle w:val="12"/>
        <w:keepNext w:val="0"/>
        <w:keepLines w:val="0"/>
        <w:pageBreakBefore w:val="0"/>
        <w:widowControl/>
        <w:kinsoku/>
        <w:wordWrap/>
        <w:overflowPunct/>
        <w:topLinePunct w:val="0"/>
        <w:autoSpaceDE/>
        <w:autoSpaceDN/>
        <w:bidi w:val="0"/>
        <w:adjustRightInd/>
        <w:snapToGrid/>
        <w:spacing w:line="500" w:lineRule="exact"/>
        <w:ind w:firstLine="1280"/>
        <w:jc w:val="left"/>
        <w:textAlignment w:val="auto"/>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一、2023年</w:t>
      </w:r>
      <w:r>
        <w:rPr>
          <w:rFonts w:hint="eastAsia" w:ascii="Adobe 仿宋 Std R" w:hAnsi="Adobe 仿宋 Std R" w:eastAsia="Adobe 仿宋 Std R" w:cstheme="minorBidi"/>
          <w:kern w:val="2"/>
          <w:sz w:val="32"/>
          <w:szCs w:val="30"/>
        </w:rPr>
        <w:t>单位</w:t>
      </w:r>
      <w:r>
        <w:rPr>
          <w:rFonts w:ascii="Adobe 仿宋 Std R" w:hAnsi="Adobe 仿宋 Std R" w:eastAsia="Adobe 仿宋 Std R" w:cstheme="minorBidi"/>
          <w:kern w:val="2"/>
          <w:sz w:val="32"/>
          <w:szCs w:val="30"/>
        </w:rPr>
        <w:t>预算收支情况说明</w:t>
      </w:r>
    </w:p>
    <w:p>
      <w:pPr>
        <w:pStyle w:val="12"/>
        <w:keepNext w:val="0"/>
        <w:keepLines w:val="0"/>
        <w:pageBreakBefore w:val="0"/>
        <w:widowControl/>
        <w:kinsoku/>
        <w:wordWrap/>
        <w:overflowPunct/>
        <w:topLinePunct w:val="0"/>
        <w:autoSpaceDE/>
        <w:autoSpaceDN/>
        <w:bidi w:val="0"/>
        <w:adjustRightInd/>
        <w:snapToGrid/>
        <w:spacing w:line="500" w:lineRule="exact"/>
        <w:ind w:firstLine="1120" w:firstLineChars="350"/>
        <w:jc w:val="left"/>
        <w:textAlignment w:val="auto"/>
        <w:rPr>
          <w:rFonts w:ascii="Adobe 仿宋 Std R" w:hAnsi="Adobe 仿宋 Std R" w:eastAsia="Adobe 仿宋 Std R" w:cstheme="minorBidi"/>
          <w:kern w:val="2"/>
          <w:sz w:val="32"/>
          <w:szCs w:val="30"/>
        </w:rPr>
      </w:pPr>
      <w:r>
        <w:rPr>
          <w:rFonts w:ascii="Adobe 仿宋 Std R" w:hAnsi="Adobe 仿宋 Std R" w:eastAsia="Adobe 仿宋 Std R" w:cstheme="minorBidi"/>
          <w:kern w:val="2"/>
          <w:sz w:val="32"/>
          <w:szCs w:val="30"/>
        </w:rPr>
        <w:t xml:space="preserve"> 二、2023年“三公”经费预算情况说明</w:t>
      </w:r>
    </w:p>
    <w:p>
      <w:pPr>
        <w:pStyle w:val="12"/>
        <w:keepNext w:val="0"/>
        <w:keepLines w:val="0"/>
        <w:pageBreakBefore w:val="0"/>
        <w:widowControl/>
        <w:tabs>
          <w:tab w:val="left" w:pos="6546"/>
        </w:tabs>
        <w:kinsoku/>
        <w:wordWrap/>
        <w:overflowPunct/>
        <w:topLinePunct w:val="0"/>
        <w:autoSpaceDE/>
        <w:autoSpaceDN/>
        <w:bidi w:val="0"/>
        <w:adjustRightInd/>
        <w:snapToGrid/>
        <w:spacing w:line="500" w:lineRule="exact"/>
        <w:ind w:firstLine="1280"/>
        <w:jc w:val="left"/>
        <w:textAlignment w:val="auto"/>
        <w:rPr>
          <w:rFonts w:ascii="Adobe 仿宋 Std R" w:hAnsi="Adobe 仿宋 Std R" w:eastAsia="Adobe 仿宋 Std R" w:cstheme="minorBidi"/>
          <w:kern w:val="2"/>
          <w:sz w:val="32"/>
          <w:szCs w:val="30"/>
        </w:rPr>
      </w:pPr>
    </w:p>
    <w:p>
      <w:pPr>
        <w:pStyle w:val="12"/>
        <w:keepNext w:val="0"/>
        <w:keepLines w:val="0"/>
        <w:pageBreakBefore w:val="0"/>
        <w:widowControl/>
        <w:kinsoku/>
        <w:wordWrap/>
        <w:overflowPunct/>
        <w:topLinePunct w:val="0"/>
        <w:autoSpaceDE/>
        <w:autoSpaceDN/>
        <w:bidi w:val="0"/>
        <w:adjustRightInd/>
        <w:snapToGrid/>
        <w:spacing w:line="500" w:lineRule="exact"/>
        <w:ind w:firstLine="640"/>
        <w:jc w:val="left"/>
        <w:textAlignment w:val="auto"/>
        <w:rPr>
          <w:rFonts w:ascii="仿宋_GB2312" w:eastAsia="仿宋_GB2312"/>
          <w:b/>
          <w:bCs/>
          <w:color w:val="000000"/>
          <w:sz w:val="32"/>
          <w:szCs w:val="32"/>
        </w:rPr>
      </w:pPr>
      <w:r>
        <w:rPr>
          <w:rFonts w:hint="eastAsia" w:ascii="仿宋_GB2312" w:eastAsia="仿宋_GB2312"/>
          <w:b/>
          <w:bCs/>
          <w:color w:val="000000"/>
          <w:sz w:val="32"/>
          <w:szCs w:val="32"/>
        </w:rPr>
        <w:t>第四部分  名词解释</w:t>
      </w: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 xml:space="preserve">第一部分  </w:t>
      </w:r>
      <w:r>
        <w:rPr>
          <w:rFonts w:hint="eastAsia" w:ascii="仿宋_GB2312" w:eastAsia="仿宋_GB2312"/>
          <w:b/>
          <w:bCs/>
          <w:color w:val="000000"/>
          <w:sz w:val="32"/>
          <w:szCs w:val="32"/>
          <w:lang w:eastAsia="zh-CN"/>
        </w:rPr>
        <w:t>南昌（国家）大学科技城管理委员会</w:t>
      </w:r>
      <w:r>
        <w:rPr>
          <w:rFonts w:hint="eastAsia" w:ascii="仿宋_GB2312" w:eastAsia="仿宋_GB2312"/>
          <w:b/>
          <w:sz w:val="32"/>
          <w:szCs w:val="30"/>
        </w:rPr>
        <w:t>概况</w:t>
      </w:r>
    </w:p>
    <w:p>
      <w:pPr>
        <w:widowControl/>
        <w:spacing w:line="580" w:lineRule="exact"/>
        <w:jc w:val="left"/>
        <w:rPr>
          <w:rFonts w:asciiTheme="minorEastAsia" w:hAnsiTheme="minorEastAsia"/>
          <w:b/>
          <w:sz w:val="36"/>
          <w:szCs w:val="36"/>
        </w:rPr>
      </w:pPr>
    </w:p>
    <w:p>
      <w:pPr>
        <w:widowControl/>
        <w:spacing w:line="580" w:lineRule="exact"/>
        <w:jc w:val="left"/>
        <w:rPr>
          <w:rFonts w:asciiTheme="minorEastAsia" w:hAnsiTheme="minorEastAsia"/>
          <w:b/>
          <w:sz w:val="36"/>
          <w:szCs w:val="36"/>
        </w:rPr>
      </w:pPr>
      <w:r>
        <w:rPr>
          <w:rFonts w:hint="eastAsia" w:asciiTheme="minorEastAsia" w:hAnsiTheme="minorEastAsia"/>
          <w:b/>
          <w:sz w:val="36"/>
          <w:szCs w:val="36"/>
        </w:rPr>
        <w:t>一、单位主要职责</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负责组织编制科技城产业发展方案负责对外推介宣传,招商引资及科技成果转化重点项目等工作,负责基础设施建设和企业用地用房的规划与管理,协调驻辖区企业间企业与各方面之间的关系,负责推进科技城与高校间的合作,促进资源共享,推进高校科技成果孵化转化和高层次人才创新创业，负责高新区管委会交办的其他工作。</w:t>
      </w:r>
    </w:p>
    <w:p>
      <w:pPr>
        <w:rPr>
          <w:b/>
          <w:sz w:val="36"/>
          <w:szCs w:val="36"/>
        </w:rPr>
      </w:pPr>
      <w:r>
        <w:rPr>
          <w:rFonts w:hint="eastAsia"/>
          <w:b/>
          <w:sz w:val="36"/>
          <w:szCs w:val="36"/>
        </w:rPr>
        <w:t>二、机构设置及人员情况</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本部门包含四个科室,分别为:办公室、运行管理科、招商科、合作发展科。</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办公室:负责科技城的综合协调服务,负责党建人事财务,固定资产管理,负责建立健全各项规章制度,负责工作计划总结及有关政策文件的起草和审核,负责物业管理和后勤服务。</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运行管理科:负责科技城经济运行及有关事务负责服务入驻企业,协调沟通科技城企业间企业与各方面之间的关系,负责科技城企业,科技人才等各类项目申报,负责科技城企业数据统计,负责科技城安全生产工作,负责科技城重点建设项目的跟踪服务,负责科技城优惠政策的制定,负责科技城各项经济指标的完成。</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招商科:负责科技城的招商引资工作,负责科技城宣传推广及建设工作负责公共服务体系建设工作,负责科技城大型招商活动推介活动的策划组织,实施工作负责科技城经济发展,招商引资的政策拟定与落实。</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合作发展科:负责协调大学科技城与相关高校研究院所关系,推进高校院所科技成果孵化转化和高层次人才创新创业,负责与相关部门的联络沟通。</w:t>
      </w:r>
    </w:p>
    <w:p>
      <w:pPr>
        <w:ind w:firstLine="640" w:firstLineChars="200"/>
        <w:rPr>
          <w:rFonts w:ascii="仿宋" w:hAnsi="仿宋" w:eastAsia="仿宋"/>
          <w:sz w:val="32"/>
          <w:szCs w:val="32"/>
        </w:rPr>
      </w:pPr>
      <w:r>
        <w:rPr>
          <w:rFonts w:hint="eastAsia" w:ascii="仿宋_GB2312" w:hAnsi="仿宋_GB2312" w:eastAsia="仿宋_GB2312" w:cs="仿宋_GB2312"/>
          <w:color w:val="000000"/>
          <w:sz w:val="32"/>
          <w:szCs w:val="32"/>
        </w:rPr>
        <w:t>本部门202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rPr>
        <w:t>人在职,其中</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人在编。</w:t>
      </w:r>
    </w:p>
    <w:p>
      <w:pPr>
        <w:widowControl/>
        <w:spacing w:line="580" w:lineRule="exact"/>
        <w:jc w:val="center"/>
        <w:rPr>
          <w:rFonts w:ascii="仿宋_GB2312" w:eastAsia="仿宋_GB2312"/>
          <w:b/>
          <w:szCs w:val="30"/>
        </w:rPr>
      </w:pPr>
    </w:p>
    <w:p>
      <w:pPr>
        <w:widowControl/>
        <w:numPr>
          <w:ilvl w:val="0"/>
          <w:numId w:val="1"/>
        </w:numPr>
        <w:spacing w:line="580" w:lineRule="exact"/>
        <w:jc w:val="center"/>
        <w:rPr>
          <w:rFonts w:hint="eastAsia" w:ascii="仿宋_GB2312" w:eastAsia="仿宋_GB2312"/>
          <w:b/>
          <w:sz w:val="32"/>
          <w:szCs w:val="30"/>
        </w:rPr>
      </w:pPr>
      <w:r>
        <w:rPr>
          <w:rFonts w:hint="eastAsia" w:ascii="仿宋_GB2312" w:eastAsia="仿宋_GB2312"/>
          <w:b/>
          <w:sz w:val="32"/>
          <w:szCs w:val="30"/>
        </w:rPr>
        <w:t xml:space="preserve"> </w:t>
      </w:r>
      <w:r>
        <w:rPr>
          <w:rFonts w:hint="eastAsia" w:ascii="仿宋_GB2312" w:eastAsia="仿宋_GB2312"/>
          <w:b/>
          <w:bCs/>
          <w:color w:val="000000"/>
          <w:sz w:val="32"/>
          <w:szCs w:val="32"/>
          <w:lang w:eastAsia="zh-CN"/>
        </w:rPr>
        <w:t>南昌（国家）大学科技城管理委员会</w:t>
      </w:r>
      <w:r>
        <w:rPr>
          <w:rFonts w:hint="eastAsia" w:ascii="仿宋_GB2312" w:eastAsia="仿宋_GB2312"/>
          <w:b/>
          <w:sz w:val="32"/>
          <w:szCs w:val="30"/>
        </w:rPr>
        <w:t>202</w:t>
      </w:r>
      <w:r>
        <w:rPr>
          <w:rFonts w:ascii="仿宋_GB2312" w:eastAsia="仿宋_GB2312"/>
          <w:b/>
          <w:sz w:val="32"/>
          <w:szCs w:val="30"/>
        </w:rPr>
        <w:t>3</w:t>
      </w:r>
      <w:r>
        <w:rPr>
          <w:rFonts w:hint="eastAsia" w:ascii="仿宋_GB2312" w:eastAsia="仿宋_GB2312"/>
          <w:b/>
          <w:sz w:val="32"/>
          <w:szCs w:val="30"/>
        </w:rPr>
        <w:t>年</w:t>
      </w:r>
    </w:p>
    <w:p>
      <w:pPr>
        <w:widowControl/>
        <w:spacing w:line="580" w:lineRule="exact"/>
        <w:jc w:val="center"/>
        <w:rPr>
          <w:rFonts w:ascii="仿宋_GB2312" w:eastAsia="仿宋_GB2312"/>
          <w:b/>
          <w:sz w:val="32"/>
          <w:szCs w:val="30"/>
        </w:rPr>
      </w:pPr>
      <w:r>
        <w:rPr>
          <w:rFonts w:hint="eastAsia" w:ascii="仿宋_GB2312" w:eastAsia="仿宋_GB2312"/>
          <w:b/>
          <w:sz w:val="32"/>
          <w:szCs w:val="30"/>
        </w:rPr>
        <w:t>单位预算表</w:t>
      </w:r>
    </w:p>
    <w:p>
      <w:pPr>
        <w:ind w:firstLine="640" w:firstLineChars="200"/>
        <w:jc w:val="left"/>
        <w:rPr>
          <w:rFonts w:ascii="仿宋" w:hAnsi="仿宋" w:eastAsia="仿宋"/>
          <w:bCs/>
          <w:sz w:val="32"/>
          <w:szCs w:val="32"/>
        </w:rPr>
      </w:pPr>
      <w:r>
        <w:rPr>
          <w:rFonts w:hint="eastAsia" w:ascii="仿宋" w:hAnsi="仿宋" w:eastAsia="仿宋"/>
          <w:bCs/>
          <w:sz w:val="32"/>
          <w:szCs w:val="32"/>
        </w:rPr>
        <w:t>（详见附表）</w:t>
      </w:r>
    </w:p>
    <w:p>
      <w:pPr>
        <w:jc w:val="left"/>
        <w:rPr>
          <w:rStyle w:val="11"/>
          <w:rFonts w:ascii="仿宋" w:hAnsi="仿宋" w:eastAsia="仿宋"/>
          <w:bCs/>
          <w:sz w:val="32"/>
          <w:szCs w:val="32"/>
        </w:rPr>
      </w:pPr>
    </w:p>
    <w:p>
      <w:pPr>
        <w:widowControl/>
        <w:spacing w:line="580" w:lineRule="exact"/>
        <w:jc w:val="center"/>
        <w:rPr>
          <w:rFonts w:ascii="仿宋_GB2312" w:eastAsia="仿宋_GB2312"/>
          <w:b/>
          <w:sz w:val="32"/>
          <w:szCs w:val="30"/>
        </w:rPr>
      </w:pPr>
      <w:r>
        <w:rPr>
          <w:rFonts w:hint="eastAsia" w:ascii="仿宋_GB2312" w:hAnsi="Calibri" w:eastAsia="仿宋_GB2312" w:cs="宋体"/>
          <w:b/>
          <w:kern w:val="0"/>
          <w:sz w:val="32"/>
          <w:szCs w:val="32"/>
        </w:rPr>
        <w:t xml:space="preserve">第三部分 </w:t>
      </w:r>
      <w:r>
        <w:rPr>
          <w:rFonts w:hint="eastAsia" w:ascii="仿宋_GB2312" w:eastAsia="仿宋_GB2312"/>
          <w:b/>
          <w:sz w:val="32"/>
          <w:szCs w:val="30"/>
        </w:rPr>
        <w:t xml:space="preserve"> </w:t>
      </w:r>
      <w:r>
        <w:rPr>
          <w:rFonts w:hint="eastAsia" w:ascii="仿宋_GB2312" w:eastAsia="仿宋_GB2312"/>
          <w:b/>
          <w:bCs/>
          <w:color w:val="000000"/>
          <w:sz w:val="32"/>
          <w:szCs w:val="32"/>
          <w:lang w:eastAsia="zh-CN"/>
        </w:rPr>
        <w:t>南昌（国家）大学科技城管理委员会</w:t>
      </w:r>
      <w:r>
        <w:rPr>
          <w:rFonts w:hint="eastAsia" w:ascii="仿宋_GB2312" w:eastAsia="仿宋_GB2312"/>
          <w:b/>
          <w:sz w:val="32"/>
          <w:szCs w:val="30"/>
        </w:rPr>
        <w:t>202</w:t>
      </w:r>
      <w:r>
        <w:rPr>
          <w:rFonts w:ascii="仿宋_GB2312" w:eastAsia="仿宋_GB2312"/>
          <w:b/>
          <w:sz w:val="32"/>
          <w:szCs w:val="30"/>
        </w:rPr>
        <w:t>3</w:t>
      </w:r>
      <w:r>
        <w:rPr>
          <w:rFonts w:hint="eastAsia" w:ascii="仿宋_GB2312" w:eastAsia="仿宋_GB2312"/>
          <w:b/>
          <w:sz w:val="32"/>
          <w:szCs w:val="30"/>
        </w:rPr>
        <w:t>年单位预算情况说明</w:t>
      </w:r>
    </w:p>
    <w:p>
      <w:pPr>
        <w:widowControl/>
        <w:spacing w:line="580" w:lineRule="exact"/>
        <w:jc w:val="center"/>
        <w:rPr>
          <w:rFonts w:ascii="仿宋_GB2312" w:eastAsia="仿宋_GB2312"/>
          <w:b/>
          <w:sz w:val="32"/>
          <w:szCs w:val="30"/>
        </w:rPr>
      </w:pPr>
    </w:p>
    <w:p>
      <w:pPr>
        <w:widowControl/>
        <w:spacing w:line="580" w:lineRule="exact"/>
        <w:jc w:val="left"/>
        <w:rPr>
          <w:rFonts w:ascii="楷体_GB2312" w:eastAsia="楷体_GB2312"/>
          <w:b/>
          <w:sz w:val="32"/>
          <w:szCs w:val="30"/>
        </w:rPr>
      </w:pPr>
      <w:r>
        <w:rPr>
          <w:rFonts w:hint="eastAsia" w:ascii="楷体_GB2312" w:eastAsia="楷体_GB2312"/>
          <w:b/>
          <w:sz w:val="32"/>
          <w:szCs w:val="30"/>
        </w:rPr>
        <w:t>一、202</w:t>
      </w:r>
      <w:r>
        <w:rPr>
          <w:rFonts w:ascii="楷体_GB2312" w:eastAsia="楷体_GB2312"/>
          <w:b/>
          <w:sz w:val="32"/>
          <w:szCs w:val="30"/>
        </w:rPr>
        <w:t>3</w:t>
      </w:r>
      <w:r>
        <w:rPr>
          <w:rFonts w:hint="eastAsia" w:ascii="楷体_GB2312" w:eastAsia="楷体_GB2312"/>
          <w:b/>
          <w:sz w:val="32"/>
          <w:szCs w:val="30"/>
        </w:rPr>
        <w:t>年单位预算收支情况说明</w:t>
      </w:r>
    </w:p>
    <w:p>
      <w:pPr>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 xml:space="preserve"> (一)收入预算情况</w:t>
      </w:r>
    </w:p>
    <w:p>
      <w:pPr>
        <w:widowControl/>
        <w:ind w:firstLine="640" w:firstLineChars="200"/>
        <w:rPr>
          <w:rFonts w:ascii="仿宋" w:hAnsi="仿宋" w:eastAsia="仿宋" w:cs="Times New Roman"/>
          <w:kern w:val="0"/>
          <w:sz w:val="32"/>
          <w:szCs w:val="32"/>
        </w:rPr>
      </w:pPr>
      <w:r>
        <w:rPr>
          <w:rFonts w:hint="eastAsia" w:ascii="仿宋_GB2312" w:hAnsi="仿宋_GB2312" w:eastAsia="仿宋_GB2312" w:cs="仿宋_GB2312"/>
          <w:kern w:val="0"/>
          <w:sz w:val="32"/>
          <w:szCs w:val="32"/>
        </w:rPr>
        <w:t>2023年</w:t>
      </w:r>
      <w:r>
        <w:rPr>
          <w:rFonts w:hint="eastAsia" w:ascii="仿宋_GB2312" w:hAnsi="仿宋_GB2312" w:eastAsia="仿宋_GB2312" w:cs="仿宋_GB2312"/>
          <w:kern w:val="0"/>
          <w:sz w:val="32"/>
          <w:szCs w:val="32"/>
          <w:lang w:eastAsia="zh-CN"/>
        </w:rPr>
        <w:t>南昌（国家）大学科技城管理委员会</w:t>
      </w: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MERGEFIELD ${page540426799.ds254512694_V_BGT_DEP_INCOME_DXQDW01_ZJ}</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收入预算总额为</w:t>
      </w:r>
      <w:r>
        <w:rPr>
          <w:rFonts w:hint="eastAsia" w:ascii="仿宋_GB2312" w:hAnsi="仿宋_GB2312" w:eastAsia="仿宋_GB2312" w:cs="仿宋_GB2312"/>
          <w:kern w:val="0"/>
          <w:sz w:val="32"/>
          <w:szCs w:val="32"/>
          <w:lang w:val="en-US" w:eastAsia="zh-CN"/>
        </w:rPr>
        <w:t>14303.9</w:t>
      </w:r>
      <w:r>
        <w:rPr>
          <w:rFonts w:hint="eastAsia" w:ascii="仿宋_GB2312" w:hAnsi="仿宋_GB2312" w:eastAsia="仿宋_GB2312" w:cs="仿宋_GB2312"/>
          <w:kern w:val="0"/>
          <w:sz w:val="32"/>
          <w:szCs w:val="32"/>
        </w:rPr>
        <w:t>万元,较上年预算安排增加</w:t>
      </w:r>
      <w:r>
        <w:rPr>
          <w:rFonts w:hint="eastAsia" w:ascii="仿宋_GB2312" w:hAnsi="仿宋_GB2312" w:eastAsia="仿宋_GB2312" w:cs="仿宋_GB2312"/>
          <w:kern w:val="0"/>
          <w:sz w:val="32"/>
          <w:szCs w:val="32"/>
          <w:lang w:val="en-US" w:eastAsia="zh-CN"/>
        </w:rPr>
        <w:t>11558.48</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rPr>
        <w:fldChar w:fldCharType="end"/>
      </w: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MERGEFIELD ${page540426799.ds254512694_V_BGT_DEP_INCOME_DXQDW01_SRXMMX}</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财政拨款收入</w:t>
      </w:r>
      <w:r>
        <w:rPr>
          <w:rFonts w:hint="eastAsia" w:ascii="仿宋_GB2312" w:hAnsi="仿宋_GB2312" w:eastAsia="仿宋_GB2312" w:cs="仿宋_GB2312"/>
          <w:kern w:val="0"/>
          <w:sz w:val="32"/>
          <w:szCs w:val="32"/>
          <w:lang w:val="en-US" w:eastAsia="zh-CN"/>
        </w:rPr>
        <w:t>1203.9</w:t>
      </w:r>
      <w:r>
        <w:rPr>
          <w:rFonts w:hint="eastAsia" w:ascii="仿宋_GB2312" w:hAnsi="仿宋_GB2312" w:eastAsia="仿宋_GB2312" w:cs="仿宋_GB2312"/>
          <w:kern w:val="0"/>
          <w:sz w:val="32"/>
          <w:szCs w:val="32"/>
        </w:rPr>
        <w:t>万元,较上年预算安排减少</w:t>
      </w:r>
      <w:r>
        <w:rPr>
          <w:rFonts w:hint="eastAsia" w:ascii="仿宋_GB2312" w:hAnsi="仿宋_GB2312" w:eastAsia="仿宋_GB2312" w:cs="仿宋_GB2312"/>
          <w:kern w:val="0"/>
          <w:sz w:val="32"/>
          <w:szCs w:val="32"/>
          <w:lang w:val="en-US" w:eastAsia="zh-CN"/>
        </w:rPr>
        <w:t>1441.52</w:t>
      </w:r>
      <w:r>
        <w:rPr>
          <w:rFonts w:hint="eastAsia" w:ascii="仿宋_GB2312" w:hAnsi="仿宋_GB2312" w:eastAsia="仿宋_GB2312" w:cs="仿宋_GB2312"/>
          <w:kern w:val="0"/>
          <w:sz w:val="32"/>
          <w:szCs w:val="32"/>
        </w:rPr>
        <w:t>万元</w:t>
      </w:r>
      <w:r>
        <w:rPr>
          <w:rFonts w:hint="eastAsia" w:ascii="仿宋" w:hAnsi="仿宋" w:eastAsia="仿宋" w:cs="Times New Roman"/>
          <w:kern w:val="0"/>
          <w:sz w:val="32"/>
          <w:szCs w:val="32"/>
          <w:lang w:eastAsia="zh-CN"/>
        </w:rPr>
        <w:t>主要原因是较上年度大学科技城双创环境打造项目款及双创载体租赁费大幅下降；其他收入</w:t>
      </w:r>
      <w:r>
        <w:rPr>
          <w:rFonts w:hint="eastAsia" w:ascii="仿宋" w:hAnsi="仿宋" w:eastAsia="仿宋" w:cs="Times New Roman"/>
          <w:kern w:val="0"/>
          <w:sz w:val="32"/>
          <w:szCs w:val="32"/>
          <w:lang w:val="en-US" w:eastAsia="zh-CN"/>
        </w:rPr>
        <w:t>13100万元，较上年预算安排增加13000万元,为江西省高层次人才产业园专项债资金收入</w:t>
      </w:r>
      <w:r>
        <w:rPr>
          <w:rFonts w:ascii="仿宋" w:hAnsi="仿宋" w:eastAsia="仿宋" w:cs="Times New Roman"/>
          <w:kern w:val="0"/>
          <w:sz w:val="32"/>
          <w:szCs w:val="32"/>
        </w:rPr>
        <w:t>。</w:t>
      </w:r>
      <w:r>
        <w:rPr>
          <w:rFonts w:hint="eastAsia" w:ascii="仿宋_GB2312" w:hAnsi="仿宋_GB2312" w:eastAsia="仿宋_GB2312" w:cs="仿宋_GB2312"/>
        </w:rPr>
        <w:fldChar w:fldCharType="end"/>
      </w:r>
    </w:p>
    <w:p>
      <w:pPr>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 xml:space="preserve"> (二)支出预算情况</w:t>
      </w:r>
    </w:p>
    <w:p>
      <w:pPr>
        <w:ind w:firstLine="640" w:firstLineChars="200"/>
        <w:rPr>
          <w:rStyle w:val="11"/>
          <w:rFonts w:hint="eastAsia" w:ascii="仿宋_GB2312" w:hAnsi="仿宋_GB2312" w:eastAsia="仿宋_GB2312" w:cs="仿宋_GB2312"/>
          <w:sz w:val="32"/>
          <w:szCs w:val="32"/>
        </w:rPr>
      </w:pPr>
      <w:r>
        <w:rPr>
          <w:rStyle w:val="11"/>
          <w:rFonts w:hint="eastAsia" w:ascii="仿宋_GB2312" w:hAnsi="仿宋_GB2312" w:eastAsia="仿宋_GB2312" w:cs="仿宋_GB2312"/>
          <w:sz w:val="32"/>
          <w:szCs w:val="32"/>
        </w:rPr>
        <w:t>2023年</w:t>
      </w:r>
      <w:r>
        <w:rPr>
          <w:rStyle w:val="11"/>
          <w:rFonts w:hint="eastAsia" w:ascii="仿宋_GB2312" w:hAnsi="仿宋_GB2312" w:eastAsia="仿宋_GB2312" w:cs="仿宋_GB2312"/>
          <w:sz w:val="32"/>
          <w:szCs w:val="32"/>
        </w:rPr>
        <w:fldChar w:fldCharType="begin"/>
      </w:r>
      <w:r>
        <w:rPr>
          <w:rStyle w:val="11"/>
          <w:rFonts w:hint="eastAsia" w:ascii="仿宋_GB2312" w:hAnsi="仿宋_GB2312" w:eastAsia="仿宋_GB2312" w:cs="仿宋_GB2312"/>
          <w:sz w:val="32"/>
          <w:szCs w:val="32"/>
        </w:rPr>
        <w:instrText xml:space="preserve">MERGEFIELD ${page540426799.ds254512694_REP_JXJC_AGENCY_WZR_NAME}</w:instrText>
      </w:r>
      <w:r>
        <w:rPr>
          <w:rStyle w:val="11"/>
          <w:rFonts w:hint="eastAsia" w:ascii="仿宋_GB2312" w:hAnsi="仿宋_GB2312" w:eastAsia="仿宋_GB2312" w:cs="仿宋_GB2312"/>
          <w:sz w:val="32"/>
          <w:szCs w:val="32"/>
        </w:rPr>
        <w:fldChar w:fldCharType="separate"/>
      </w:r>
      <w:r>
        <w:rPr>
          <w:rStyle w:val="11"/>
          <w:rFonts w:hint="eastAsia" w:ascii="仿宋_GB2312" w:hAnsi="仿宋_GB2312" w:eastAsia="仿宋_GB2312" w:cs="仿宋_GB2312"/>
          <w:sz w:val="32"/>
          <w:szCs w:val="32"/>
          <w:lang w:eastAsia="zh-CN"/>
        </w:rPr>
        <w:t>南昌（国家）大学科技城管理委员会</w:t>
      </w:r>
      <w:r>
        <w:rPr>
          <w:rFonts w:hint="eastAsia" w:ascii="仿宋_GB2312" w:hAnsi="仿宋_GB2312" w:eastAsia="仿宋_GB2312" w:cs="仿宋_GB2312"/>
        </w:rPr>
        <w:fldChar w:fldCharType="end"/>
      </w:r>
      <w:r>
        <w:rPr>
          <w:rStyle w:val="11"/>
          <w:rFonts w:hint="eastAsia" w:ascii="仿宋_GB2312" w:hAnsi="仿宋_GB2312" w:eastAsia="仿宋_GB2312" w:cs="仿宋_GB2312"/>
          <w:sz w:val="32"/>
          <w:szCs w:val="32"/>
        </w:rPr>
        <w:fldChar w:fldCharType="begin"/>
      </w:r>
      <w:r>
        <w:rPr>
          <w:rStyle w:val="11"/>
          <w:rFonts w:hint="eastAsia" w:ascii="仿宋_GB2312" w:hAnsi="仿宋_GB2312" w:eastAsia="仿宋_GB2312" w:cs="仿宋_GB2312"/>
          <w:sz w:val="32"/>
          <w:szCs w:val="32"/>
        </w:rPr>
        <w:instrText xml:space="preserve">MERGEFIELD ${page540426799.ds357974894_REP_BGT_T_HC1100002019_DXQ02DW_S_ZJ}</w:instrText>
      </w:r>
      <w:r>
        <w:rPr>
          <w:rStyle w:val="11"/>
          <w:rFonts w:hint="eastAsia" w:ascii="仿宋_GB2312" w:hAnsi="仿宋_GB2312" w:eastAsia="仿宋_GB2312" w:cs="仿宋_GB2312"/>
          <w:sz w:val="32"/>
          <w:szCs w:val="32"/>
        </w:rPr>
        <w:fldChar w:fldCharType="separate"/>
      </w:r>
      <w:r>
        <w:rPr>
          <w:rStyle w:val="11"/>
          <w:rFonts w:hint="eastAsia" w:ascii="仿宋_GB2312" w:hAnsi="仿宋_GB2312" w:eastAsia="仿宋_GB2312" w:cs="仿宋_GB2312"/>
          <w:sz w:val="32"/>
          <w:szCs w:val="32"/>
        </w:rPr>
        <w:t>支出预算总额为</w:t>
      </w:r>
      <w:r>
        <w:rPr>
          <w:rFonts w:hint="eastAsia" w:ascii="仿宋_GB2312" w:hAnsi="仿宋_GB2312" w:eastAsia="仿宋_GB2312" w:cs="仿宋_GB2312"/>
          <w:kern w:val="0"/>
          <w:sz w:val="32"/>
          <w:szCs w:val="32"/>
          <w:lang w:val="en-US" w:eastAsia="zh-CN"/>
        </w:rPr>
        <w:t>14303.9</w:t>
      </w:r>
      <w:r>
        <w:rPr>
          <w:rStyle w:val="11"/>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kern w:val="0"/>
          <w:sz w:val="32"/>
          <w:szCs w:val="32"/>
          <w:lang w:val="en-US" w:eastAsia="zh-CN"/>
        </w:rPr>
        <w:t>11558.48</w:t>
      </w:r>
      <w:r>
        <w:rPr>
          <w:rStyle w:val="11"/>
          <w:rFonts w:hint="eastAsia" w:ascii="仿宋_GB2312" w:hAnsi="仿宋_GB2312" w:eastAsia="仿宋_GB2312" w:cs="仿宋_GB2312"/>
          <w:sz w:val="32"/>
          <w:szCs w:val="32"/>
        </w:rPr>
        <w:t>万元;</w:t>
      </w:r>
      <w:r>
        <w:rPr>
          <w:rFonts w:hint="eastAsia" w:ascii="仿宋_GB2312" w:hAnsi="仿宋_GB2312" w:eastAsia="仿宋_GB2312" w:cs="仿宋_GB2312"/>
        </w:rPr>
        <w:fldChar w:fldCharType="end"/>
      </w:r>
      <w:r>
        <w:rPr>
          <w:rStyle w:val="11"/>
          <w:rFonts w:hint="eastAsia" w:ascii="仿宋_GB2312" w:hAnsi="仿宋_GB2312" w:eastAsia="仿宋_GB2312" w:cs="仿宋_GB2312"/>
          <w:sz w:val="32"/>
          <w:szCs w:val="32"/>
        </w:rPr>
        <w:t xml:space="preserve"> 其中：</w:t>
      </w:r>
    </w:p>
    <w:p>
      <w:pPr>
        <w:ind w:firstLine="640" w:firstLineChars="200"/>
        <w:rPr>
          <w:rStyle w:val="11"/>
          <w:rFonts w:hint="eastAsia" w:ascii="仿宋_GB2312" w:hAnsi="仿宋_GB2312" w:eastAsia="仿宋_GB2312" w:cs="仿宋_GB2312"/>
          <w:sz w:val="32"/>
          <w:szCs w:val="32"/>
        </w:rPr>
      </w:pPr>
      <w:r>
        <w:rPr>
          <w:rStyle w:val="11"/>
          <w:rFonts w:hint="eastAsia" w:ascii="仿宋_GB2312" w:hAnsi="仿宋_GB2312" w:eastAsia="仿宋_GB2312" w:cs="仿宋_GB2312"/>
          <w:sz w:val="32"/>
          <w:szCs w:val="32"/>
        </w:rPr>
        <w:t xml:space="preserve">按支出项目类别划分： </w:t>
      </w:r>
      <w:r>
        <w:rPr>
          <w:rStyle w:val="11"/>
          <w:rFonts w:hint="eastAsia" w:ascii="仿宋_GB2312" w:hAnsi="仿宋_GB2312" w:eastAsia="仿宋_GB2312" w:cs="仿宋_GB2312"/>
          <w:sz w:val="32"/>
          <w:szCs w:val="32"/>
        </w:rPr>
        <w:fldChar w:fldCharType="begin"/>
      </w:r>
      <w:r>
        <w:rPr>
          <w:rStyle w:val="11"/>
          <w:rFonts w:hint="eastAsia" w:ascii="仿宋_GB2312" w:hAnsi="仿宋_GB2312" w:eastAsia="仿宋_GB2312" w:cs="仿宋_GB2312"/>
          <w:sz w:val="32"/>
          <w:szCs w:val="32"/>
        </w:rPr>
        <w:instrText xml:space="preserve">MERGEFIELD ${page540426799.ds357974894_REP_BGT_T_HC1100002019_DXQ02DW_JBZCQK}</w:instrText>
      </w:r>
      <w:r>
        <w:rPr>
          <w:rStyle w:val="11"/>
          <w:rFonts w:hint="eastAsia" w:ascii="仿宋_GB2312" w:hAnsi="仿宋_GB2312" w:eastAsia="仿宋_GB2312" w:cs="仿宋_GB2312"/>
          <w:sz w:val="32"/>
          <w:szCs w:val="32"/>
        </w:rPr>
        <w:fldChar w:fldCharType="separate"/>
      </w:r>
      <w:r>
        <w:rPr>
          <w:rStyle w:val="11"/>
          <w:rFonts w:hint="eastAsia" w:ascii="仿宋_GB2312" w:hAnsi="仿宋_GB2312" w:eastAsia="仿宋_GB2312" w:cs="仿宋_GB2312"/>
          <w:sz w:val="32"/>
          <w:szCs w:val="32"/>
        </w:rPr>
        <w:t>基本支出</w:t>
      </w:r>
      <w:r>
        <w:rPr>
          <w:rStyle w:val="11"/>
          <w:rFonts w:hint="eastAsia" w:ascii="仿宋_GB2312" w:hAnsi="仿宋_GB2312" w:eastAsia="仿宋_GB2312" w:cs="仿宋_GB2312"/>
          <w:sz w:val="32"/>
          <w:szCs w:val="32"/>
          <w:lang w:val="en-US" w:eastAsia="zh-CN"/>
        </w:rPr>
        <w:t>418.9</w:t>
      </w:r>
      <w:r>
        <w:rPr>
          <w:rStyle w:val="11"/>
          <w:rFonts w:hint="eastAsia" w:ascii="仿宋_GB2312" w:hAnsi="仿宋_GB2312" w:eastAsia="仿宋_GB2312" w:cs="仿宋_GB2312"/>
          <w:sz w:val="32"/>
          <w:szCs w:val="32"/>
        </w:rPr>
        <w:t>万元,较上年预算安排减少</w:t>
      </w:r>
      <w:r>
        <w:rPr>
          <w:rStyle w:val="11"/>
          <w:rFonts w:hint="eastAsia" w:ascii="仿宋_GB2312" w:hAnsi="仿宋_GB2312" w:eastAsia="仿宋_GB2312" w:cs="仿宋_GB2312"/>
          <w:sz w:val="32"/>
          <w:szCs w:val="32"/>
          <w:lang w:val="en-US" w:eastAsia="zh-CN"/>
        </w:rPr>
        <w:t>7</w:t>
      </w:r>
      <w:r>
        <w:rPr>
          <w:rStyle w:val="11"/>
          <w:rFonts w:hint="eastAsia" w:ascii="仿宋_GB2312" w:hAnsi="仿宋_GB2312" w:eastAsia="仿宋_GB2312" w:cs="仿宋_GB2312"/>
          <w:sz w:val="32"/>
          <w:szCs w:val="32"/>
        </w:rPr>
        <w:t>万元</w:t>
      </w:r>
      <w:r>
        <w:rPr>
          <w:rStyle w:val="11"/>
          <w:rFonts w:hint="eastAsia" w:ascii="仿宋_GB2312" w:hAnsi="仿宋_GB2312" w:eastAsia="仿宋_GB2312" w:cs="仿宋_GB2312"/>
          <w:sz w:val="32"/>
          <w:szCs w:val="32"/>
          <w:lang w:eastAsia="zh-CN"/>
        </w:rPr>
        <w:t>，主要原因是本年度有人员调整，经费有所调减</w:t>
      </w:r>
      <w:r>
        <w:rPr>
          <w:rStyle w:val="11"/>
          <w:rFonts w:hint="eastAsia" w:ascii="仿宋_GB2312" w:hAnsi="仿宋_GB2312" w:eastAsia="仿宋_GB2312" w:cs="仿宋_GB2312"/>
          <w:sz w:val="32"/>
          <w:szCs w:val="32"/>
        </w:rPr>
        <w:t>;其中：工资福利支出</w:t>
      </w:r>
      <w:r>
        <w:rPr>
          <w:rStyle w:val="11"/>
          <w:rFonts w:hint="eastAsia" w:ascii="仿宋_GB2312" w:hAnsi="仿宋_GB2312" w:eastAsia="仿宋_GB2312" w:cs="仿宋_GB2312"/>
          <w:sz w:val="32"/>
          <w:szCs w:val="32"/>
          <w:lang w:val="en-US" w:eastAsia="zh-CN"/>
        </w:rPr>
        <w:t>409.9</w:t>
      </w:r>
      <w:r>
        <w:rPr>
          <w:rStyle w:val="11"/>
          <w:rFonts w:hint="eastAsia" w:ascii="仿宋_GB2312" w:hAnsi="仿宋_GB2312" w:eastAsia="仿宋_GB2312" w:cs="仿宋_GB2312"/>
          <w:sz w:val="32"/>
          <w:szCs w:val="32"/>
        </w:rPr>
        <w:t>万元,商品和服务支出</w:t>
      </w:r>
      <w:r>
        <w:rPr>
          <w:rStyle w:val="11"/>
          <w:rFonts w:hint="eastAsia" w:ascii="仿宋_GB2312" w:hAnsi="仿宋_GB2312" w:eastAsia="仿宋_GB2312" w:cs="仿宋_GB2312"/>
          <w:sz w:val="32"/>
          <w:szCs w:val="32"/>
          <w:lang w:val="en-US" w:eastAsia="zh-CN"/>
        </w:rPr>
        <w:t>9</w:t>
      </w:r>
      <w:r>
        <w:rPr>
          <w:rStyle w:val="11"/>
          <w:rFonts w:hint="eastAsia" w:ascii="仿宋_GB2312" w:hAnsi="仿宋_GB2312" w:eastAsia="仿宋_GB2312" w:cs="仿宋_GB2312"/>
          <w:sz w:val="32"/>
          <w:szCs w:val="32"/>
        </w:rPr>
        <w:t>万元。</w:t>
      </w:r>
      <w:r>
        <w:rPr>
          <w:rFonts w:hint="eastAsia" w:ascii="仿宋_GB2312" w:hAnsi="仿宋_GB2312" w:eastAsia="仿宋_GB2312" w:cs="仿宋_GB2312"/>
        </w:rPr>
        <w:fldChar w:fldCharType="end"/>
      </w:r>
      <w:r>
        <w:rPr>
          <w:rStyle w:val="11"/>
          <w:rFonts w:hint="eastAsia" w:ascii="仿宋_GB2312" w:hAnsi="仿宋_GB2312" w:eastAsia="仿宋_GB2312" w:cs="仿宋_GB2312"/>
          <w:sz w:val="32"/>
          <w:szCs w:val="32"/>
        </w:rPr>
        <w:fldChar w:fldCharType="begin"/>
      </w:r>
      <w:r>
        <w:rPr>
          <w:rStyle w:val="11"/>
          <w:rFonts w:hint="eastAsia" w:ascii="仿宋_GB2312" w:hAnsi="仿宋_GB2312" w:eastAsia="仿宋_GB2312" w:cs="仿宋_GB2312"/>
          <w:sz w:val="32"/>
          <w:szCs w:val="32"/>
        </w:rPr>
        <w:instrText xml:space="preserve">MERGEFIELD ${page540426799.ds357974894_REP_BGT_T_HC1100002019_DXQ02DW_XMZCQK}</w:instrText>
      </w:r>
      <w:r>
        <w:rPr>
          <w:rStyle w:val="11"/>
          <w:rFonts w:hint="eastAsia" w:ascii="仿宋_GB2312" w:hAnsi="仿宋_GB2312" w:eastAsia="仿宋_GB2312" w:cs="仿宋_GB2312"/>
          <w:sz w:val="32"/>
          <w:szCs w:val="32"/>
        </w:rPr>
        <w:fldChar w:fldCharType="separate"/>
      </w:r>
      <w:r>
        <w:rPr>
          <w:rStyle w:val="11"/>
          <w:rFonts w:hint="eastAsia" w:ascii="仿宋_GB2312" w:hAnsi="仿宋_GB2312" w:eastAsia="仿宋_GB2312" w:cs="仿宋_GB2312"/>
          <w:sz w:val="32"/>
          <w:szCs w:val="32"/>
        </w:rPr>
        <w:t>项目支出</w:t>
      </w:r>
      <w:r>
        <w:rPr>
          <w:rStyle w:val="11"/>
          <w:rFonts w:hint="eastAsia" w:ascii="仿宋_GB2312" w:hAnsi="仿宋_GB2312" w:eastAsia="仿宋_GB2312" w:cs="仿宋_GB2312"/>
          <w:sz w:val="32"/>
          <w:szCs w:val="32"/>
          <w:lang w:val="en-US" w:eastAsia="zh-CN"/>
        </w:rPr>
        <w:t>13885</w:t>
      </w:r>
      <w:r>
        <w:rPr>
          <w:rStyle w:val="11"/>
          <w:rFonts w:hint="eastAsia" w:ascii="仿宋_GB2312" w:hAnsi="仿宋_GB2312" w:eastAsia="仿宋_GB2312" w:cs="仿宋_GB2312"/>
          <w:sz w:val="32"/>
          <w:szCs w:val="32"/>
        </w:rPr>
        <w:t>万元,较上年预算安排增加</w:t>
      </w:r>
      <w:r>
        <w:rPr>
          <w:rStyle w:val="11"/>
          <w:rFonts w:hint="eastAsia" w:ascii="仿宋_GB2312" w:hAnsi="仿宋_GB2312" w:eastAsia="仿宋_GB2312" w:cs="仿宋_GB2312"/>
          <w:sz w:val="32"/>
          <w:szCs w:val="32"/>
          <w:lang w:val="en-US" w:eastAsia="zh-CN"/>
        </w:rPr>
        <w:t>11565.48</w:t>
      </w:r>
      <w:r>
        <w:rPr>
          <w:rStyle w:val="11"/>
          <w:rFonts w:hint="eastAsia" w:ascii="仿宋_GB2312" w:hAnsi="仿宋_GB2312" w:eastAsia="仿宋_GB2312" w:cs="仿宋_GB2312"/>
          <w:sz w:val="32"/>
          <w:szCs w:val="32"/>
        </w:rPr>
        <w:t>万元;其中：</w:t>
      </w:r>
      <w:r>
        <w:rPr>
          <w:rStyle w:val="11"/>
          <w:rFonts w:hint="eastAsia" w:ascii="仿宋_GB2312" w:hAnsi="仿宋_GB2312" w:eastAsia="仿宋_GB2312" w:cs="仿宋_GB2312"/>
          <w:sz w:val="32"/>
          <w:szCs w:val="32"/>
          <w:lang w:eastAsia="zh-CN"/>
        </w:rPr>
        <w:t>工资福利支出</w:t>
      </w:r>
      <w:r>
        <w:rPr>
          <w:rStyle w:val="11"/>
          <w:rFonts w:hint="eastAsia" w:ascii="仿宋_GB2312" w:hAnsi="仿宋_GB2312" w:eastAsia="仿宋_GB2312" w:cs="仿宋_GB2312"/>
          <w:sz w:val="32"/>
          <w:szCs w:val="32"/>
          <w:lang w:val="en-US" w:eastAsia="zh-CN"/>
        </w:rPr>
        <w:t>65万元；</w:t>
      </w:r>
      <w:r>
        <w:rPr>
          <w:rStyle w:val="11"/>
          <w:rFonts w:hint="eastAsia" w:ascii="仿宋_GB2312" w:hAnsi="仿宋_GB2312" w:eastAsia="仿宋_GB2312" w:cs="仿宋_GB2312"/>
          <w:sz w:val="32"/>
          <w:szCs w:val="32"/>
        </w:rPr>
        <w:t>商品和服务支出</w:t>
      </w:r>
      <w:r>
        <w:rPr>
          <w:rStyle w:val="11"/>
          <w:rFonts w:hint="eastAsia" w:ascii="仿宋_GB2312" w:hAnsi="仿宋_GB2312" w:eastAsia="仿宋_GB2312" w:cs="仿宋_GB2312"/>
          <w:sz w:val="32"/>
          <w:szCs w:val="32"/>
          <w:lang w:val="en-US" w:eastAsia="zh-CN"/>
        </w:rPr>
        <w:t>420</w:t>
      </w:r>
      <w:r>
        <w:rPr>
          <w:rStyle w:val="11"/>
          <w:rFonts w:hint="eastAsia" w:ascii="仿宋_GB2312" w:hAnsi="仿宋_GB2312" w:eastAsia="仿宋_GB2312" w:cs="仿宋_GB2312"/>
          <w:sz w:val="32"/>
          <w:szCs w:val="32"/>
        </w:rPr>
        <w:t>万元,资本性支出</w:t>
      </w:r>
      <w:r>
        <w:rPr>
          <w:rStyle w:val="11"/>
          <w:rFonts w:hint="eastAsia" w:ascii="仿宋_GB2312" w:hAnsi="仿宋_GB2312" w:eastAsia="仿宋_GB2312" w:cs="仿宋_GB2312"/>
          <w:sz w:val="32"/>
          <w:szCs w:val="32"/>
          <w:lang w:val="en-US" w:eastAsia="zh-CN"/>
        </w:rPr>
        <w:t>13400</w:t>
      </w:r>
      <w:r>
        <w:rPr>
          <w:rStyle w:val="11"/>
          <w:rFonts w:hint="eastAsia" w:ascii="仿宋_GB2312" w:hAnsi="仿宋_GB2312" w:eastAsia="仿宋_GB2312" w:cs="仿宋_GB2312"/>
          <w:sz w:val="32"/>
          <w:szCs w:val="32"/>
        </w:rPr>
        <w:t>万元。</w:t>
      </w:r>
      <w:r>
        <w:rPr>
          <w:rFonts w:hint="eastAsia" w:ascii="仿宋_GB2312" w:hAnsi="仿宋_GB2312" w:eastAsia="仿宋_GB2312" w:cs="仿宋_GB2312"/>
        </w:rPr>
        <w:fldChar w:fldCharType="end"/>
      </w:r>
    </w:p>
    <w:p>
      <w:pPr>
        <w:ind w:firstLine="640" w:firstLineChars="200"/>
        <w:rPr>
          <w:rStyle w:val="11"/>
          <w:rFonts w:hint="eastAsia" w:ascii="仿宋_GB2312" w:hAnsi="仿宋_GB2312" w:eastAsia="仿宋_GB2312" w:cs="仿宋_GB2312"/>
          <w:b/>
          <w:sz w:val="20"/>
          <w:szCs w:val="32"/>
          <w:lang w:val="en-US" w:eastAsia="zh-CN"/>
        </w:rPr>
      </w:pPr>
      <w:r>
        <w:rPr>
          <w:rStyle w:val="11"/>
          <w:rFonts w:hint="eastAsia" w:ascii="仿宋_GB2312" w:hAnsi="仿宋_GB2312" w:eastAsia="仿宋_GB2312" w:cs="仿宋_GB2312"/>
          <w:sz w:val="32"/>
          <w:szCs w:val="32"/>
        </w:rPr>
        <w:t xml:space="preserve">按支出功能科目划分： </w:t>
      </w:r>
      <w:r>
        <w:rPr>
          <w:rStyle w:val="11"/>
          <w:rFonts w:hint="eastAsia" w:ascii="仿宋_GB2312" w:hAnsi="仿宋_GB2312" w:eastAsia="仿宋_GB2312" w:cs="仿宋_GB2312"/>
          <w:sz w:val="32"/>
          <w:szCs w:val="32"/>
        </w:rPr>
        <w:fldChar w:fldCharType="begin"/>
      </w:r>
      <w:r>
        <w:rPr>
          <w:rStyle w:val="11"/>
          <w:rFonts w:hint="eastAsia" w:ascii="仿宋_GB2312" w:hAnsi="仿宋_GB2312" w:eastAsia="仿宋_GB2312" w:cs="仿宋_GB2312"/>
          <w:sz w:val="32"/>
          <w:szCs w:val="32"/>
        </w:rPr>
        <w:instrText xml:space="preserve">MERGEFIELD ${page540426799.ds197859873_REP_BGT_T_HC1100002019DXQ01DW_GNZJMX}</w:instrText>
      </w:r>
      <w:r>
        <w:rPr>
          <w:rStyle w:val="11"/>
          <w:rFonts w:hint="eastAsia" w:ascii="仿宋_GB2312" w:hAnsi="仿宋_GB2312" w:eastAsia="仿宋_GB2312" w:cs="仿宋_GB2312"/>
          <w:sz w:val="32"/>
          <w:szCs w:val="32"/>
        </w:rPr>
        <w:fldChar w:fldCharType="separate"/>
      </w:r>
      <w:r>
        <w:rPr>
          <w:rStyle w:val="11"/>
          <w:rFonts w:hint="eastAsia" w:ascii="仿宋_GB2312" w:hAnsi="仿宋_GB2312" w:eastAsia="仿宋_GB2312" w:cs="仿宋_GB2312"/>
          <w:sz w:val="32"/>
          <w:szCs w:val="32"/>
        </w:rPr>
        <w:t>一般公共服务支出</w:t>
      </w:r>
      <w:r>
        <w:rPr>
          <w:rStyle w:val="11"/>
          <w:rFonts w:hint="eastAsia" w:ascii="仿宋_GB2312" w:hAnsi="仿宋_GB2312" w:eastAsia="仿宋_GB2312" w:cs="仿宋_GB2312"/>
          <w:sz w:val="32"/>
          <w:szCs w:val="32"/>
          <w:lang w:val="en-US" w:eastAsia="zh-CN"/>
        </w:rPr>
        <w:t>369.5</w:t>
      </w:r>
      <w:r>
        <w:rPr>
          <w:rStyle w:val="11"/>
          <w:rFonts w:hint="eastAsia" w:ascii="仿宋_GB2312" w:hAnsi="仿宋_GB2312" w:eastAsia="仿宋_GB2312" w:cs="仿宋_GB2312"/>
          <w:sz w:val="32"/>
          <w:szCs w:val="32"/>
        </w:rPr>
        <w:t>万元,较上年预算安排</w:t>
      </w:r>
      <w:r>
        <w:rPr>
          <w:rStyle w:val="11"/>
          <w:rFonts w:hint="eastAsia" w:ascii="仿宋_GB2312" w:hAnsi="仿宋_GB2312" w:eastAsia="仿宋_GB2312" w:cs="仿宋_GB2312"/>
          <w:sz w:val="32"/>
          <w:szCs w:val="32"/>
          <w:lang w:eastAsia="zh-CN"/>
        </w:rPr>
        <w:t>减少</w:t>
      </w:r>
      <w:r>
        <w:rPr>
          <w:rStyle w:val="11"/>
          <w:rFonts w:hint="eastAsia" w:ascii="仿宋_GB2312" w:hAnsi="仿宋_GB2312" w:eastAsia="仿宋_GB2312" w:cs="仿宋_GB2312"/>
          <w:sz w:val="32"/>
          <w:szCs w:val="32"/>
          <w:lang w:val="en-US" w:eastAsia="zh-CN"/>
        </w:rPr>
        <w:t>48.4</w:t>
      </w:r>
      <w:r>
        <w:rPr>
          <w:rStyle w:val="11"/>
          <w:rFonts w:hint="eastAsia" w:ascii="仿宋_GB2312" w:hAnsi="仿宋_GB2312" w:eastAsia="仿宋_GB2312" w:cs="仿宋_GB2312"/>
          <w:sz w:val="32"/>
          <w:szCs w:val="32"/>
        </w:rPr>
        <w:t>万元</w:t>
      </w:r>
      <w:r>
        <w:rPr>
          <w:rStyle w:val="11"/>
          <w:rFonts w:hint="eastAsia" w:ascii="仿宋_GB2312" w:hAnsi="仿宋_GB2312" w:eastAsia="仿宋_GB2312" w:cs="仿宋_GB2312"/>
          <w:sz w:val="32"/>
          <w:szCs w:val="32"/>
          <w:lang w:eastAsia="zh-CN"/>
        </w:rPr>
        <w:t>，主要原因是本年度办公地址变更，减少食堂运营项目</w:t>
      </w:r>
      <w:r>
        <w:rPr>
          <w:rStyle w:val="11"/>
          <w:rFonts w:hint="eastAsia" w:ascii="仿宋_GB2312" w:hAnsi="仿宋_GB2312" w:eastAsia="仿宋_GB2312" w:cs="仿宋_GB2312"/>
          <w:sz w:val="32"/>
          <w:szCs w:val="32"/>
        </w:rPr>
        <w:t>;社会保障和就业支出</w:t>
      </w:r>
      <w:r>
        <w:rPr>
          <w:rStyle w:val="11"/>
          <w:rFonts w:hint="eastAsia" w:ascii="仿宋_GB2312" w:hAnsi="仿宋_GB2312" w:eastAsia="仿宋_GB2312" w:cs="仿宋_GB2312"/>
          <w:sz w:val="32"/>
          <w:szCs w:val="32"/>
          <w:lang w:val="en-US" w:eastAsia="zh-CN"/>
        </w:rPr>
        <w:t>23.9</w:t>
      </w:r>
      <w:r>
        <w:rPr>
          <w:rStyle w:val="11"/>
          <w:rFonts w:hint="eastAsia" w:ascii="仿宋_GB2312" w:hAnsi="仿宋_GB2312" w:eastAsia="仿宋_GB2312" w:cs="仿宋_GB2312"/>
          <w:sz w:val="32"/>
          <w:szCs w:val="32"/>
        </w:rPr>
        <w:t>万元,较上年预算安排增加</w:t>
      </w:r>
      <w:r>
        <w:rPr>
          <w:rStyle w:val="11"/>
          <w:rFonts w:hint="eastAsia" w:ascii="仿宋_GB2312" w:hAnsi="仿宋_GB2312" w:eastAsia="仿宋_GB2312" w:cs="仿宋_GB2312"/>
          <w:sz w:val="32"/>
          <w:szCs w:val="32"/>
          <w:lang w:val="en-US" w:eastAsia="zh-CN"/>
        </w:rPr>
        <w:t>23.9</w:t>
      </w:r>
      <w:r>
        <w:rPr>
          <w:rStyle w:val="11"/>
          <w:rFonts w:hint="eastAsia" w:ascii="仿宋_GB2312" w:hAnsi="仿宋_GB2312" w:eastAsia="仿宋_GB2312" w:cs="仿宋_GB2312"/>
          <w:sz w:val="32"/>
          <w:szCs w:val="32"/>
        </w:rPr>
        <w:t>万元</w:t>
      </w:r>
      <w:r>
        <w:rPr>
          <w:rStyle w:val="11"/>
          <w:rFonts w:hint="eastAsia" w:ascii="仿宋_GB2312" w:hAnsi="仿宋_GB2312" w:eastAsia="仿宋_GB2312" w:cs="仿宋_GB2312"/>
          <w:sz w:val="32"/>
          <w:szCs w:val="32"/>
          <w:lang w:eastAsia="zh-CN"/>
        </w:rPr>
        <w:t>，原因是功能科目变更</w:t>
      </w:r>
      <w:r>
        <w:rPr>
          <w:rStyle w:val="11"/>
          <w:rFonts w:hint="eastAsia" w:ascii="仿宋_GB2312" w:hAnsi="仿宋_GB2312" w:eastAsia="仿宋_GB2312" w:cs="仿宋_GB2312"/>
          <w:sz w:val="32"/>
          <w:szCs w:val="32"/>
        </w:rPr>
        <w:t>;</w:t>
      </w:r>
      <w:r>
        <w:rPr>
          <w:rStyle w:val="11"/>
          <w:rFonts w:hint="eastAsia" w:ascii="仿宋_GB2312" w:hAnsi="仿宋_GB2312" w:eastAsia="仿宋_GB2312" w:cs="仿宋_GB2312"/>
          <w:sz w:val="32"/>
          <w:szCs w:val="32"/>
          <w:lang w:eastAsia="zh-CN"/>
        </w:rPr>
        <w:t>城乡社区</w:t>
      </w:r>
      <w:r>
        <w:rPr>
          <w:rStyle w:val="11"/>
          <w:rFonts w:hint="eastAsia" w:ascii="仿宋_GB2312" w:hAnsi="仿宋_GB2312" w:eastAsia="仿宋_GB2312" w:cs="仿宋_GB2312"/>
          <w:sz w:val="32"/>
          <w:szCs w:val="32"/>
        </w:rPr>
        <w:t>支出</w:t>
      </w:r>
      <w:r>
        <w:rPr>
          <w:rStyle w:val="11"/>
          <w:rFonts w:hint="eastAsia" w:ascii="仿宋_GB2312" w:hAnsi="仿宋_GB2312" w:eastAsia="仿宋_GB2312" w:cs="仿宋_GB2312"/>
          <w:sz w:val="32"/>
          <w:szCs w:val="32"/>
          <w:lang w:val="en-US" w:eastAsia="zh-CN"/>
        </w:rPr>
        <w:t>400</w:t>
      </w:r>
      <w:r>
        <w:rPr>
          <w:rStyle w:val="11"/>
          <w:rFonts w:hint="eastAsia" w:ascii="仿宋_GB2312" w:hAnsi="仿宋_GB2312" w:eastAsia="仿宋_GB2312" w:cs="仿宋_GB2312"/>
          <w:sz w:val="32"/>
          <w:szCs w:val="32"/>
        </w:rPr>
        <w:t>万元,较上年预算安排减少</w:t>
      </w:r>
      <w:r>
        <w:rPr>
          <w:rStyle w:val="11"/>
          <w:rFonts w:hint="eastAsia" w:ascii="仿宋_GB2312" w:hAnsi="仿宋_GB2312" w:eastAsia="仿宋_GB2312" w:cs="仿宋_GB2312"/>
          <w:sz w:val="32"/>
          <w:szCs w:val="32"/>
          <w:lang w:val="en-US" w:eastAsia="zh-CN"/>
        </w:rPr>
        <w:t>520</w:t>
      </w:r>
      <w:r>
        <w:rPr>
          <w:rStyle w:val="11"/>
          <w:rFonts w:hint="eastAsia" w:ascii="仿宋_GB2312" w:hAnsi="仿宋_GB2312" w:eastAsia="仿宋_GB2312" w:cs="仿宋_GB2312"/>
          <w:sz w:val="32"/>
          <w:szCs w:val="32"/>
        </w:rPr>
        <w:t>万元</w:t>
      </w:r>
      <w:r>
        <w:rPr>
          <w:rStyle w:val="11"/>
          <w:rFonts w:hint="eastAsia" w:ascii="仿宋_GB2312" w:hAnsi="仿宋_GB2312" w:eastAsia="仿宋_GB2312" w:cs="仿宋_GB2312"/>
          <w:sz w:val="32"/>
          <w:szCs w:val="32"/>
          <w:lang w:eastAsia="zh-CN"/>
        </w:rPr>
        <w:t>，主要原因是大学科技城双创环境打造项目正在验收，</w:t>
      </w:r>
      <w:r>
        <w:rPr>
          <w:rStyle w:val="11"/>
          <w:rFonts w:hint="eastAsia" w:ascii="仿宋_GB2312" w:hAnsi="仿宋_GB2312" w:eastAsia="仿宋_GB2312" w:cs="仿宋_GB2312"/>
          <w:sz w:val="32"/>
          <w:szCs w:val="32"/>
          <w:lang w:val="en-US" w:eastAsia="zh-CN"/>
        </w:rPr>
        <w:t>2023年度预计支付尾款较上年支付进度大幅下降</w:t>
      </w:r>
      <w:r>
        <w:rPr>
          <w:rStyle w:val="11"/>
          <w:rFonts w:hint="eastAsia" w:ascii="仿宋_GB2312" w:hAnsi="仿宋_GB2312" w:eastAsia="仿宋_GB2312" w:cs="仿宋_GB2312"/>
          <w:sz w:val="32"/>
          <w:szCs w:val="32"/>
        </w:rPr>
        <w:t>;</w:t>
      </w:r>
      <w:r>
        <w:rPr>
          <w:rStyle w:val="11"/>
          <w:rFonts w:hint="eastAsia" w:ascii="仿宋_GB2312" w:hAnsi="仿宋_GB2312" w:eastAsia="仿宋_GB2312" w:cs="仿宋_GB2312"/>
          <w:sz w:val="32"/>
          <w:szCs w:val="32"/>
          <w:lang w:eastAsia="zh-CN"/>
        </w:rPr>
        <w:t>资源勘探工业信息等支出</w:t>
      </w:r>
      <w:r>
        <w:rPr>
          <w:rStyle w:val="11"/>
          <w:rFonts w:hint="eastAsia" w:ascii="仿宋_GB2312" w:hAnsi="仿宋_GB2312" w:eastAsia="仿宋_GB2312" w:cs="仿宋_GB2312"/>
          <w:sz w:val="32"/>
          <w:szCs w:val="32"/>
          <w:lang w:val="en-US" w:eastAsia="zh-CN"/>
        </w:rPr>
        <w:t>355万元，较上年预算安排减少892.52万元，主要原因是上年度支付了近几年双创载体租金，2023年度双创载体场地经费大幅下降；</w:t>
      </w:r>
      <w:r>
        <w:rPr>
          <w:rStyle w:val="11"/>
          <w:rFonts w:hint="eastAsia" w:ascii="仿宋_GB2312" w:hAnsi="仿宋_GB2312" w:eastAsia="仿宋_GB2312" w:cs="仿宋_GB2312"/>
          <w:sz w:val="32"/>
          <w:szCs w:val="32"/>
        </w:rPr>
        <w:t>住房保障支出</w:t>
      </w:r>
      <w:r>
        <w:rPr>
          <w:rStyle w:val="11"/>
          <w:rFonts w:hint="eastAsia" w:ascii="仿宋_GB2312" w:hAnsi="仿宋_GB2312" w:eastAsia="仿宋_GB2312" w:cs="仿宋_GB2312"/>
          <w:sz w:val="32"/>
          <w:szCs w:val="32"/>
          <w:lang w:val="en-US" w:eastAsia="zh-CN"/>
        </w:rPr>
        <w:t>55.5</w:t>
      </w:r>
      <w:r>
        <w:rPr>
          <w:rStyle w:val="11"/>
          <w:rFonts w:hint="eastAsia" w:ascii="仿宋_GB2312" w:hAnsi="仿宋_GB2312" w:eastAsia="仿宋_GB2312" w:cs="仿宋_GB2312"/>
          <w:sz w:val="32"/>
          <w:szCs w:val="32"/>
        </w:rPr>
        <w:t>万元,较上年预算安排减少</w:t>
      </w:r>
      <w:r>
        <w:rPr>
          <w:rStyle w:val="11"/>
          <w:rFonts w:hint="eastAsia" w:ascii="仿宋_GB2312" w:hAnsi="仿宋_GB2312" w:eastAsia="仿宋_GB2312" w:cs="仿宋_GB2312"/>
          <w:sz w:val="32"/>
          <w:szCs w:val="32"/>
          <w:lang w:val="en-US" w:eastAsia="zh-CN"/>
        </w:rPr>
        <w:t>4.5</w:t>
      </w:r>
      <w:r>
        <w:rPr>
          <w:rStyle w:val="11"/>
          <w:rFonts w:hint="eastAsia" w:ascii="仿宋_GB2312" w:hAnsi="仿宋_GB2312" w:eastAsia="仿宋_GB2312" w:cs="仿宋_GB2312"/>
          <w:sz w:val="32"/>
          <w:szCs w:val="32"/>
        </w:rPr>
        <w:t>万元</w:t>
      </w:r>
      <w:r>
        <w:rPr>
          <w:rStyle w:val="11"/>
          <w:rFonts w:hint="eastAsia" w:ascii="仿宋_GB2312" w:hAnsi="仿宋_GB2312" w:eastAsia="仿宋_GB2312" w:cs="仿宋_GB2312"/>
          <w:sz w:val="32"/>
          <w:szCs w:val="32"/>
          <w:lang w:eastAsia="zh-CN"/>
        </w:rPr>
        <w:t>，原因是本年度有人员调整，相应支出调整；</w:t>
      </w:r>
      <w:r>
        <w:rPr>
          <w:rFonts w:hint="eastAsia" w:ascii="仿宋_GB2312" w:hAnsi="仿宋_GB2312" w:eastAsia="仿宋_GB2312" w:cs="仿宋_GB2312"/>
        </w:rPr>
        <w:fldChar w:fldCharType="end"/>
      </w:r>
      <w:r>
        <w:rPr>
          <w:rStyle w:val="11"/>
          <w:rFonts w:hint="eastAsia" w:ascii="仿宋_GB2312" w:hAnsi="仿宋_GB2312" w:eastAsia="仿宋_GB2312" w:cs="仿宋_GB2312"/>
          <w:sz w:val="32"/>
          <w:szCs w:val="32"/>
          <w:lang w:eastAsia="zh-CN"/>
        </w:rPr>
        <w:t>其他支出</w:t>
      </w:r>
      <w:r>
        <w:rPr>
          <w:rStyle w:val="11"/>
          <w:rFonts w:hint="eastAsia" w:ascii="仿宋_GB2312" w:hAnsi="仿宋_GB2312" w:eastAsia="仿宋_GB2312" w:cs="仿宋_GB2312"/>
          <w:sz w:val="32"/>
          <w:szCs w:val="32"/>
          <w:lang w:val="en-US" w:eastAsia="zh-CN"/>
        </w:rPr>
        <w:t>13100万元，较上年预算安排增加13000万元，为江西省高层次人才产业园专项债资金。</w:t>
      </w:r>
    </w:p>
    <w:p>
      <w:pPr>
        <w:ind w:firstLine="640" w:firstLineChars="200"/>
        <w:rPr>
          <w:rStyle w:val="11"/>
          <w:rFonts w:hint="eastAsia" w:ascii="仿宋_GB2312" w:hAnsi="仿宋_GB2312" w:eastAsia="仿宋_GB2312" w:cs="仿宋_GB2312"/>
          <w:sz w:val="32"/>
          <w:szCs w:val="32"/>
          <w:lang w:eastAsia="zh-CN"/>
        </w:rPr>
      </w:pPr>
      <w:r>
        <w:rPr>
          <w:rStyle w:val="11"/>
          <w:rFonts w:hint="eastAsia" w:ascii="仿宋_GB2312" w:hAnsi="仿宋_GB2312" w:eastAsia="仿宋_GB2312" w:cs="仿宋_GB2312"/>
          <w:sz w:val="32"/>
          <w:szCs w:val="32"/>
        </w:rPr>
        <w:t xml:space="preserve">按支出经济分类划分： </w:t>
      </w:r>
      <w:r>
        <w:rPr>
          <w:rStyle w:val="11"/>
          <w:rFonts w:hint="eastAsia" w:ascii="仿宋_GB2312" w:hAnsi="仿宋_GB2312" w:eastAsia="仿宋_GB2312" w:cs="仿宋_GB2312"/>
          <w:sz w:val="32"/>
          <w:szCs w:val="32"/>
          <w:lang w:eastAsia="zh-CN"/>
        </w:rPr>
        <w:fldChar w:fldCharType="begin"/>
      </w:r>
      <w:r>
        <w:rPr>
          <w:rStyle w:val="11"/>
          <w:rFonts w:hint="eastAsia" w:ascii="仿宋_GB2312" w:hAnsi="仿宋_GB2312" w:eastAsia="仿宋_GB2312" w:cs="仿宋_GB2312"/>
          <w:sz w:val="32"/>
          <w:szCs w:val="32"/>
          <w:lang w:eastAsia="zh-CN"/>
        </w:rPr>
        <w:instrText xml:space="preserve">MERGEFIELD ${page540426799.ds197859873_REP_BGT_T_HC1100002019DXQ01DW_JJMX}</w:instrText>
      </w:r>
      <w:r>
        <w:rPr>
          <w:rStyle w:val="11"/>
          <w:rFonts w:hint="eastAsia" w:ascii="仿宋_GB2312" w:hAnsi="仿宋_GB2312" w:eastAsia="仿宋_GB2312" w:cs="仿宋_GB2312"/>
          <w:sz w:val="32"/>
          <w:szCs w:val="32"/>
          <w:lang w:eastAsia="zh-CN"/>
        </w:rPr>
        <w:fldChar w:fldCharType="separate"/>
      </w:r>
      <w:r>
        <w:rPr>
          <w:rStyle w:val="11"/>
          <w:rFonts w:hint="eastAsia" w:ascii="仿宋_GB2312" w:hAnsi="仿宋_GB2312" w:eastAsia="仿宋_GB2312" w:cs="仿宋_GB2312"/>
          <w:sz w:val="32"/>
          <w:szCs w:val="32"/>
          <w:lang w:eastAsia="zh-CN"/>
        </w:rPr>
        <w:t>工资福利支出</w:t>
      </w:r>
      <w:r>
        <w:rPr>
          <w:rStyle w:val="11"/>
          <w:rFonts w:hint="eastAsia" w:ascii="仿宋_GB2312" w:hAnsi="仿宋_GB2312" w:eastAsia="仿宋_GB2312" w:cs="仿宋_GB2312"/>
          <w:sz w:val="32"/>
          <w:szCs w:val="32"/>
          <w:lang w:val="en-US" w:eastAsia="zh-CN"/>
        </w:rPr>
        <w:t>474.9</w:t>
      </w:r>
      <w:r>
        <w:rPr>
          <w:rStyle w:val="11"/>
          <w:rFonts w:hint="eastAsia" w:ascii="仿宋_GB2312" w:hAnsi="仿宋_GB2312" w:eastAsia="仿宋_GB2312" w:cs="仿宋_GB2312"/>
          <w:sz w:val="32"/>
          <w:szCs w:val="32"/>
          <w:lang w:eastAsia="zh-CN"/>
        </w:rPr>
        <w:t>万元，较上年预算安排增加</w:t>
      </w:r>
      <w:r>
        <w:rPr>
          <w:rStyle w:val="11"/>
          <w:rFonts w:hint="eastAsia" w:ascii="仿宋_GB2312" w:hAnsi="仿宋_GB2312" w:eastAsia="仿宋_GB2312" w:cs="仿宋_GB2312"/>
          <w:sz w:val="32"/>
          <w:szCs w:val="32"/>
          <w:lang w:val="en-US" w:eastAsia="zh-CN"/>
        </w:rPr>
        <w:t>74.9</w:t>
      </w:r>
      <w:r>
        <w:rPr>
          <w:rStyle w:val="11"/>
          <w:rFonts w:hint="eastAsia" w:ascii="仿宋_GB2312" w:hAnsi="仿宋_GB2312" w:eastAsia="仿宋_GB2312" w:cs="仿宋_GB2312"/>
          <w:sz w:val="32"/>
          <w:szCs w:val="32"/>
          <w:lang w:eastAsia="zh-CN"/>
        </w:rPr>
        <w:t>万元;商品和服务支出</w:t>
      </w:r>
      <w:r>
        <w:rPr>
          <w:rStyle w:val="11"/>
          <w:rFonts w:hint="eastAsia" w:ascii="仿宋_GB2312" w:hAnsi="仿宋_GB2312" w:eastAsia="仿宋_GB2312" w:cs="仿宋_GB2312"/>
          <w:sz w:val="32"/>
          <w:szCs w:val="32"/>
          <w:lang w:val="en-US" w:eastAsia="zh-CN"/>
        </w:rPr>
        <w:t>429</w:t>
      </w:r>
      <w:r>
        <w:rPr>
          <w:rStyle w:val="11"/>
          <w:rFonts w:hint="eastAsia" w:ascii="仿宋_GB2312" w:hAnsi="仿宋_GB2312" w:eastAsia="仿宋_GB2312" w:cs="仿宋_GB2312"/>
          <w:sz w:val="32"/>
          <w:szCs w:val="32"/>
          <w:lang w:eastAsia="zh-CN"/>
        </w:rPr>
        <w:t>万元，较上年预算安排减少</w:t>
      </w:r>
      <w:r>
        <w:rPr>
          <w:rStyle w:val="11"/>
          <w:rFonts w:hint="eastAsia" w:ascii="仿宋_GB2312" w:hAnsi="仿宋_GB2312" w:eastAsia="仿宋_GB2312" w:cs="仿宋_GB2312"/>
          <w:sz w:val="32"/>
          <w:szCs w:val="32"/>
          <w:lang w:val="en-US" w:eastAsia="zh-CN"/>
        </w:rPr>
        <w:t>996.42</w:t>
      </w:r>
      <w:r>
        <w:rPr>
          <w:rStyle w:val="11"/>
          <w:rFonts w:hint="eastAsia" w:ascii="仿宋_GB2312" w:hAnsi="仿宋_GB2312" w:eastAsia="仿宋_GB2312" w:cs="仿宋_GB2312"/>
          <w:sz w:val="32"/>
          <w:szCs w:val="32"/>
          <w:lang w:eastAsia="zh-CN"/>
        </w:rPr>
        <w:t>万元;资本性支出</w:t>
      </w:r>
      <w:r>
        <w:rPr>
          <w:rStyle w:val="11"/>
          <w:rFonts w:hint="eastAsia" w:ascii="仿宋_GB2312" w:hAnsi="仿宋_GB2312" w:eastAsia="仿宋_GB2312" w:cs="仿宋_GB2312"/>
          <w:sz w:val="32"/>
          <w:szCs w:val="32"/>
          <w:lang w:val="en-US" w:eastAsia="zh-CN"/>
        </w:rPr>
        <w:t>13400</w:t>
      </w:r>
      <w:r>
        <w:rPr>
          <w:rStyle w:val="11"/>
          <w:rFonts w:hint="eastAsia" w:ascii="仿宋_GB2312" w:hAnsi="仿宋_GB2312" w:eastAsia="仿宋_GB2312" w:cs="仿宋_GB2312"/>
          <w:sz w:val="32"/>
          <w:szCs w:val="32"/>
          <w:lang w:eastAsia="zh-CN"/>
        </w:rPr>
        <w:t>万元,较上年预算安排增加</w:t>
      </w:r>
      <w:r>
        <w:rPr>
          <w:rStyle w:val="11"/>
          <w:rFonts w:hint="eastAsia" w:ascii="仿宋_GB2312" w:hAnsi="仿宋_GB2312" w:eastAsia="仿宋_GB2312" w:cs="仿宋_GB2312"/>
          <w:sz w:val="32"/>
          <w:szCs w:val="32"/>
          <w:lang w:val="en-US" w:eastAsia="zh-CN"/>
        </w:rPr>
        <w:t>12480</w:t>
      </w:r>
      <w:r>
        <w:rPr>
          <w:rStyle w:val="11"/>
          <w:rFonts w:hint="eastAsia" w:ascii="仿宋_GB2312" w:hAnsi="仿宋_GB2312" w:eastAsia="仿宋_GB2312" w:cs="仿宋_GB2312"/>
          <w:sz w:val="32"/>
          <w:szCs w:val="32"/>
          <w:lang w:eastAsia="zh-CN"/>
        </w:rPr>
        <w:t>万元。</w:t>
      </w:r>
      <w:r>
        <w:rPr>
          <w:rStyle w:val="11"/>
          <w:rFonts w:hint="eastAsia" w:ascii="仿宋_GB2312" w:hAnsi="仿宋_GB2312" w:eastAsia="仿宋_GB2312" w:cs="仿宋_GB2312"/>
          <w:sz w:val="32"/>
          <w:szCs w:val="32"/>
          <w:lang w:eastAsia="zh-CN"/>
        </w:rPr>
        <w:fldChar w:fldCharType="end"/>
      </w:r>
    </w:p>
    <w:p>
      <w:pPr>
        <w:ind w:firstLine="321"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 xml:space="preserve"> (三)财政拨款支出情况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2023年</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MERGEFIELD ${page540426799.ds254512694_REP_JXJC_AGENCY_WZR_NAME}</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lang w:eastAsia="zh-CN"/>
        </w:rPr>
        <w:t>南昌（国家）大学科技城管理委员会</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MERGEFIELD ${page540426799.ds357974894_REP_BGT_T_HC1100002019_DXQ02DW_S_CBXJ}</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财政拨款支出预算总额</w:t>
      </w:r>
      <w:r>
        <w:rPr>
          <w:rFonts w:hint="eastAsia" w:ascii="仿宋_GB2312" w:hAnsi="仿宋_GB2312" w:eastAsia="仿宋_GB2312" w:cs="仿宋_GB2312"/>
          <w:color w:val="000000"/>
          <w:sz w:val="32"/>
          <w:szCs w:val="32"/>
          <w:lang w:val="en-US" w:eastAsia="zh-CN"/>
        </w:rPr>
        <w:t>1203.9</w:t>
      </w:r>
      <w:r>
        <w:rPr>
          <w:rFonts w:hint="eastAsia" w:ascii="仿宋_GB2312" w:hAnsi="仿宋_GB2312" w:eastAsia="仿宋_GB2312" w:cs="仿宋_GB2312"/>
          <w:color w:val="000000"/>
          <w:sz w:val="32"/>
          <w:szCs w:val="32"/>
        </w:rPr>
        <w:t>万元,较上年预算安排减少</w:t>
      </w:r>
      <w:r>
        <w:rPr>
          <w:rFonts w:hint="eastAsia" w:ascii="仿宋_GB2312" w:hAnsi="仿宋_GB2312" w:eastAsia="仿宋_GB2312" w:cs="仿宋_GB2312"/>
          <w:color w:val="000000"/>
          <w:sz w:val="32"/>
          <w:szCs w:val="32"/>
          <w:lang w:val="en-US" w:eastAsia="zh-CN"/>
        </w:rPr>
        <w:t>1441.52</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rPr>
        <w:fldChar w:fldCharType="end"/>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按支出功能科目划分： </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MERGEFIELD ${page540426799.ds197859873_REP_BGT_T_HC1100002019DXQ01DW_GNCBMX}</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一般公共服务支出</w:t>
      </w:r>
      <w:r>
        <w:rPr>
          <w:rFonts w:hint="eastAsia" w:ascii="仿宋_GB2312" w:hAnsi="仿宋_GB2312" w:eastAsia="仿宋_GB2312" w:cs="仿宋_GB2312"/>
          <w:color w:val="000000"/>
          <w:sz w:val="32"/>
          <w:szCs w:val="32"/>
          <w:lang w:val="en-US" w:eastAsia="zh-CN"/>
        </w:rPr>
        <w:t>369.5</w:t>
      </w:r>
      <w:r>
        <w:rPr>
          <w:rFonts w:hint="eastAsia" w:ascii="仿宋_GB2312" w:hAnsi="仿宋_GB2312" w:eastAsia="仿宋_GB2312" w:cs="仿宋_GB2312"/>
          <w:color w:val="000000"/>
          <w:sz w:val="32"/>
          <w:szCs w:val="32"/>
        </w:rPr>
        <w:t>万元,较上年预算安排</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48.4</w:t>
      </w:r>
      <w:r>
        <w:rPr>
          <w:rFonts w:hint="eastAsia" w:ascii="仿宋_GB2312" w:hAnsi="仿宋_GB2312" w:eastAsia="仿宋_GB2312" w:cs="仿宋_GB2312"/>
          <w:color w:val="000000"/>
          <w:sz w:val="32"/>
          <w:szCs w:val="32"/>
        </w:rPr>
        <w:t>万元</w:t>
      </w:r>
      <w:r>
        <w:rPr>
          <w:rStyle w:val="11"/>
          <w:rFonts w:hint="eastAsia" w:ascii="仿宋_GB2312" w:hAnsi="仿宋_GB2312" w:eastAsia="仿宋_GB2312" w:cs="仿宋_GB2312"/>
          <w:sz w:val="32"/>
          <w:szCs w:val="32"/>
          <w:lang w:eastAsia="zh-CN"/>
        </w:rPr>
        <w:t>，主要原因是本年度办公地址变更，减少食堂运营项目</w:t>
      </w:r>
      <w:r>
        <w:rPr>
          <w:rFonts w:hint="eastAsia" w:ascii="仿宋_GB2312" w:hAnsi="仿宋_GB2312" w:eastAsia="仿宋_GB2312" w:cs="仿宋_GB2312"/>
          <w:color w:val="000000"/>
          <w:sz w:val="32"/>
          <w:szCs w:val="32"/>
        </w:rPr>
        <w:t>;社会保障和就业支出</w:t>
      </w:r>
      <w:r>
        <w:rPr>
          <w:rFonts w:hint="eastAsia" w:ascii="仿宋_GB2312" w:hAnsi="仿宋_GB2312" w:eastAsia="仿宋_GB2312" w:cs="仿宋_GB2312"/>
          <w:color w:val="000000"/>
          <w:sz w:val="32"/>
          <w:szCs w:val="32"/>
          <w:lang w:val="en-US" w:eastAsia="zh-CN"/>
        </w:rPr>
        <w:t>23.9</w:t>
      </w:r>
      <w:r>
        <w:rPr>
          <w:rFonts w:hint="eastAsia" w:ascii="仿宋_GB2312" w:hAnsi="仿宋_GB2312" w:eastAsia="仿宋_GB2312" w:cs="仿宋_GB2312"/>
          <w:color w:val="000000"/>
          <w:sz w:val="32"/>
          <w:szCs w:val="32"/>
        </w:rPr>
        <w:t>万元,较上年预算安排增加</w:t>
      </w:r>
      <w:r>
        <w:rPr>
          <w:rFonts w:hint="eastAsia" w:ascii="仿宋_GB2312" w:hAnsi="仿宋_GB2312" w:eastAsia="仿宋_GB2312" w:cs="仿宋_GB2312"/>
          <w:color w:val="000000"/>
          <w:sz w:val="32"/>
          <w:szCs w:val="32"/>
          <w:lang w:val="en-US" w:eastAsia="zh-CN"/>
        </w:rPr>
        <w:t>23.9</w:t>
      </w:r>
      <w:r>
        <w:rPr>
          <w:rFonts w:hint="eastAsia" w:ascii="仿宋_GB2312" w:hAnsi="仿宋_GB2312" w:eastAsia="仿宋_GB2312" w:cs="仿宋_GB2312"/>
          <w:color w:val="000000"/>
          <w:sz w:val="32"/>
          <w:szCs w:val="32"/>
        </w:rPr>
        <w:t>万元</w:t>
      </w:r>
      <w:r>
        <w:rPr>
          <w:rStyle w:val="11"/>
          <w:rFonts w:hint="eastAsia" w:ascii="仿宋_GB2312" w:hAnsi="仿宋_GB2312" w:eastAsia="仿宋_GB2312" w:cs="仿宋_GB2312"/>
          <w:sz w:val="32"/>
          <w:szCs w:val="32"/>
          <w:lang w:eastAsia="zh-CN"/>
        </w:rPr>
        <w:t>，原因是功能科目变更</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城乡社区</w:t>
      </w:r>
      <w:r>
        <w:rPr>
          <w:rFonts w:hint="eastAsia" w:ascii="仿宋_GB2312" w:hAnsi="仿宋_GB2312" w:eastAsia="仿宋_GB2312" w:cs="仿宋_GB2312"/>
          <w:color w:val="000000"/>
          <w:sz w:val="32"/>
          <w:szCs w:val="32"/>
        </w:rPr>
        <w:t>支出</w:t>
      </w:r>
      <w:r>
        <w:rPr>
          <w:rFonts w:hint="eastAsia" w:ascii="仿宋_GB2312" w:hAnsi="仿宋_GB2312" w:eastAsia="仿宋_GB2312" w:cs="仿宋_GB2312"/>
          <w:color w:val="000000"/>
          <w:sz w:val="32"/>
          <w:szCs w:val="32"/>
          <w:lang w:val="en-US" w:eastAsia="zh-CN"/>
        </w:rPr>
        <w:t>400</w:t>
      </w:r>
      <w:r>
        <w:rPr>
          <w:rFonts w:hint="eastAsia" w:ascii="仿宋_GB2312" w:hAnsi="仿宋_GB2312" w:eastAsia="仿宋_GB2312" w:cs="仿宋_GB2312"/>
          <w:color w:val="000000"/>
          <w:sz w:val="32"/>
          <w:szCs w:val="32"/>
        </w:rPr>
        <w:t>万元,较上年预算安排减少</w:t>
      </w:r>
      <w:r>
        <w:rPr>
          <w:rFonts w:hint="eastAsia" w:ascii="仿宋_GB2312" w:hAnsi="仿宋_GB2312" w:eastAsia="仿宋_GB2312" w:cs="仿宋_GB2312"/>
          <w:color w:val="000000"/>
          <w:sz w:val="32"/>
          <w:szCs w:val="32"/>
          <w:lang w:val="en-US" w:eastAsia="zh-CN"/>
        </w:rPr>
        <w:t>520</w:t>
      </w:r>
      <w:r>
        <w:rPr>
          <w:rFonts w:hint="eastAsia" w:ascii="仿宋_GB2312" w:hAnsi="仿宋_GB2312" w:eastAsia="仿宋_GB2312" w:cs="仿宋_GB2312"/>
          <w:color w:val="000000"/>
          <w:sz w:val="32"/>
          <w:szCs w:val="32"/>
        </w:rPr>
        <w:t>万元</w:t>
      </w:r>
      <w:r>
        <w:rPr>
          <w:rStyle w:val="11"/>
          <w:rFonts w:hint="eastAsia" w:ascii="仿宋_GB2312" w:hAnsi="仿宋_GB2312" w:eastAsia="仿宋_GB2312" w:cs="仿宋_GB2312"/>
          <w:sz w:val="32"/>
          <w:szCs w:val="32"/>
          <w:lang w:eastAsia="zh-CN"/>
        </w:rPr>
        <w:t>，主要原因是大学科技城双创环境打造项目正在验收，</w:t>
      </w:r>
      <w:r>
        <w:rPr>
          <w:rStyle w:val="11"/>
          <w:rFonts w:hint="eastAsia" w:ascii="仿宋_GB2312" w:hAnsi="仿宋_GB2312" w:eastAsia="仿宋_GB2312" w:cs="仿宋_GB2312"/>
          <w:sz w:val="32"/>
          <w:szCs w:val="32"/>
          <w:lang w:val="en-US" w:eastAsia="zh-CN"/>
        </w:rPr>
        <w:t>2023年度预计支付尾款较上年支付进度大幅下降</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资源勘探工业信息等支出</w:t>
      </w:r>
      <w:r>
        <w:rPr>
          <w:rFonts w:hint="eastAsia" w:ascii="仿宋_GB2312" w:hAnsi="仿宋_GB2312" w:eastAsia="仿宋_GB2312" w:cs="仿宋_GB2312"/>
          <w:color w:val="000000"/>
          <w:sz w:val="32"/>
          <w:szCs w:val="32"/>
          <w:lang w:val="en-US" w:eastAsia="zh-CN"/>
        </w:rPr>
        <w:t>355万元，较上年预算安排减少892.52万元</w:t>
      </w:r>
      <w:r>
        <w:rPr>
          <w:rStyle w:val="11"/>
          <w:rFonts w:hint="eastAsia" w:ascii="仿宋_GB2312" w:hAnsi="仿宋_GB2312" w:eastAsia="仿宋_GB2312" w:cs="仿宋_GB2312"/>
          <w:sz w:val="32"/>
          <w:szCs w:val="32"/>
          <w:lang w:val="en-US" w:eastAsia="zh-CN"/>
        </w:rPr>
        <w:t>，主要原因是上年度支付了近几年双创载体租金，2023年度双创载体场地经费大幅下降</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住房保障支出</w:t>
      </w:r>
      <w:r>
        <w:rPr>
          <w:rFonts w:hint="eastAsia" w:ascii="仿宋_GB2312" w:hAnsi="仿宋_GB2312" w:eastAsia="仿宋_GB2312" w:cs="仿宋_GB2312"/>
          <w:color w:val="000000"/>
          <w:sz w:val="32"/>
          <w:szCs w:val="32"/>
          <w:lang w:val="en-US" w:eastAsia="zh-CN"/>
        </w:rPr>
        <w:t>55.5</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较上年预算安排减少</w:t>
      </w:r>
      <w:r>
        <w:rPr>
          <w:rFonts w:hint="eastAsia" w:ascii="仿宋_GB2312" w:hAnsi="仿宋_GB2312" w:eastAsia="仿宋_GB2312" w:cs="仿宋_GB2312"/>
          <w:color w:val="000000"/>
          <w:sz w:val="32"/>
          <w:szCs w:val="32"/>
          <w:lang w:val="en-US" w:eastAsia="zh-CN"/>
        </w:rPr>
        <w:t>4.5</w:t>
      </w:r>
      <w:r>
        <w:rPr>
          <w:rFonts w:hint="eastAsia" w:ascii="仿宋_GB2312" w:hAnsi="仿宋_GB2312" w:eastAsia="仿宋_GB2312" w:cs="仿宋_GB2312"/>
          <w:color w:val="000000"/>
          <w:sz w:val="32"/>
          <w:szCs w:val="32"/>
        </w:rPr>
        <w:t>万元</w:t>
      </w:r>
      <w:r>
        <w:rPr>
          <w:rStyle w:val="11"/>
          <w:rFonts w:hint="eastAsia" w:ascii="仿宋_GB2312" w:hAnsi="仿宋_GB2312" w:eastAsia="仿宋_GB2312" w:cs="仿宋_GB2312"/>
          <w:sz w:val="32"/>
          <w:szCs w:val="32"/>
          <w:lang w:eastAsia="zh-CN"/>
        </w:rPr>
        <w:t>，原因是本年度有人员调整，相应支出调整</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fldChar w:fldCharType="end"/>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11"/>
          <w:rFonts w:ascii="仿宋" w:hAnsi="仿宋" w:eastAsia="仿宋"/>
          <w:sz w:val="32"/>
          <w:szCs w:val="32"/>
        </w:rPr>
      </w:pPr>
      <w:r>
        <w:rPr>
          <w:rFonts w:hint="eastAsia" w:ascii="仿宋_GB2312" w:hAnsi="仿宋_GB2312" w:eastAsia="仿宋_GB2312" w:cs="仿宋_GB2312"/>
          <w:color w:val="000000"/>
          <w:sz w:val="32"/>
          <w:szCs w:val="32"/>
        </w:rPr>
        <w:t xml:space="preserve">按支出项目类别划分： </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MERGEFIELD ${page540426799.ds357974894_REP_BGT_T_HC1100002019_DXQ02DW_JBZCQK}</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基本支出</w:t>
      </w:r>
      <w:r>
        <w:rPr>
          <w:rFonts w:hint="eastAsia" w:ascii="仿宋_GB2312" w:hAnsi="仿宋_GB2312" w:eastAsia="仿宋_GB2312" w:cs="仿宋_GB2312"/>
          <w:color w:val="000000"/>
          <w:sz w:val="32"/>
          <w:szCs w:val="32"/>
          <w:lang w:val="en-US" w:eastAsia="zh-CN"/>
        </w:rPr>
        <w:t>418.9</w:t>
      </w:r>
      <w:r>
        <w:rPr>
          <w:rFonts w:hint="eastAsia" w:ascii="仿宋_GB2312" w:hAnsi="仿宋_GB2312" w:eastAsia="仿宋_GB2312" w:cs="仿宋_GB2312"/>
          <w:color w:val="000000"/>
          <w:sz w:val="32"/>
          <w:szCs w:val="32"/>
        </w:rPr>
        <w:t>万元,较上年预算安排减少</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万元</w:t>
      </w:r>
      <w:r>
        <w:rPr>
          <w:rStyle w:val="11"/>
          <w:rFonts w:hint="eastAsia" w:ascii="仿宋_GB2312" w:hAnsi="仿宋_GB2312" w:eastAsia="仿宋_GB2312" w:cs="仿宋_GB2312"/>
          <w:sz w:val="32"/>
          <w:szCs w:val="32"/>
          <w:lang w:eastAsia="zh-CN"/>
        </w:rPr>
        <w:t>，主要原因是本年度有人员调整，经费有所调减</w:t>
      </w:r>
      <w:r>
        <w:rPr>
          <w:rFonts w:hint="eastAsia" w:ascii="仿宋_GB2312" w:hAnsi="仿宋_GB2312" w:eastAsia="仿宋_GB2312" w:cs="仿宋_GB2312"/>
          <w:color w:val="000000"/>
          <w:sz w:val="32"/>
          <w:szCs w:val="32"/>
        </w:rPr>
        <w:t>;其中：工资福利支出</w:t>
      </w:r>
      <w:r>
        <w:rPr>
          <w:rFonts w:hint="eastAsia" w:ascii="仿宋_GB2312" w:hAnsi="仿宋_GB2312" w:eastAsia="仿宋_GB2312" w:cs="仿宋_GB2312"/>
          <w:color w:val="000000"/>
          <w:sz w:val="32"/>
          <w:szCs w:val="32"/>
          <w:lang w:val="en-US" w:eastAsia="zh-CN"/>
        </w:rPr>
        <w:t>409.9</w:t>
      </w:r>
      <w:r>
        <w:rPr>
          <w:rFonts w:hint="eastAsia" w:ascii="仿宋_GB2312" w:hAnsi="仿宋_GB2312" w:eastAsia="仿宋_GB2312" w:cs="仿宋_GB2312"/>
          <w:color w:val="000000"/>
          <w:sz w:val="32"/>
          <w:szCs w:val="32"/>
        </w:rPr>
        <w:t>万元,商品和服务支出</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MERGEFIELD ${page540426799.ds357974894_REP_BGT_T_HC1100002019_DXQ02DW_XMZCQK}</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785</w:t>
      </w:r>
      <w:r>
        <w:rPr>
          <w:rFonts w:hint="eastAsia" w:ascii="仿宋_GB2312" w:hAnsi="仿宋_GB2312" w:eastAsia="仿宋_GB2312" w:cs="仿宋_GB2312"/>
          <w:color w:val="000000"/>
          <w:sz w:val="32"/>
          <w:szCs w:val="32"/>
        </w:rPr>
        <w:t>万元,较上年预算安排</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1434.52</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其中：商品和服务支出</w:t>
      </w:r>
      <w:r>
        <w:rPr>
          <w:rFonts w:hint="eastAsia" w:ascii="仿宋_GB2312" w:hAnsi="仿宋_GB2312" w:eastAsia="仿宋_GB2312" w:cs="仿宋_GB2312"/>
          <w:color w:val="000000"/>
          <w:sz w:val="32"/>
          <w:szCs w:val="32"/>
          <w:lang w:val="en-US" w:eastAsia="zh-CN"/>
        </w:rPr>
        <w:t>385</w:t>
      </w:r>
      <w:r>
        <w:rPr>
          <w:rFonts w:hint="eastAsia" w:ascii="仿宋_GB2312" w:hAnsi="仿宋_GB2312" w:eastAsia="仿宋_GB2312" w:cs="仿宋_GB2312"/>
          <w:color w:val="000000"/>
          <w:sz w:val="32"/>
          <w:szCs w:val="32"/>
        </w:rPr>
        <w:t>万元,资本性支出</w:t>
      </w:r>
      <w:r>
        <w:rPr>
          <w:rFonts w:hint="eastAsia" w:ascii="仿宋_GB2312" w:hAnsi="仿宋_GB2312" w:eastAsia="仿宋_GB2312" w:cs="仿宋_GB2312"/>
          <w:color w:val="000000"/>
          <w:sz w:val="32"/>
          <w:szCs w:val="32"/>
          <w:lang w:val="en-US" w:eastAsia="zh-CN"/>
        </w:rPr>
        <w:t>400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rPr>
        <w:fldChar w:fldCharType="end"/>
      </w:r>
    </w:p>
    <w:p>
      <w:pPr>
        <w:ind w:firstLine="321"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(四)政府性基金情况</w:t>
      </w:r>
    </w:p>
    <w:p>
      <w:pPr>
        <w:widowControl/>
        <w:spacing w:line="600" w:lineRule="exact"/>
        <w:ind w:firstLine="640"/>
        <w:jc w:val="left"/>
        <w:rPr>
          <w:rStyle w:val="11"/>
          <w:rFonts w:ascii="仿宋" w:hAnsi="仿宋" w:eastAsia="仿宋"/>
          <w:sz w:val="32"/>
          <w:szCs w:val="32"/>
        </w:rPr>
      </w:pPr>
      <w:r>
        <w:rPr>
          <w:rFonts w:hint="eastAsia" w:ascii="仿宋_GB2312" w:hAnsi="仿宋_GB2312" w:eastAsia="仿宋_GB2312" w:cs="仿宋_GB2312"/>
          <w:color w:val="000000"/>
          <w:sz w:val="32"/>
          <w:szCs w:val="32"/>
        </w:rPr>
        <w:t>本</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无政府性基金预算拨款安排的支出。</w:t>
      </w:r>
      <w:bookmarkStart w:id="0" w:name="_GoBack"/>
      <w:bookmarkEnd w:id="0"/>
    </w:p>
    <w:p>
      <w:pPr>
        <w:ind w:firstLine="321"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（五）国有资本经营情况</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本单位无</w:t>
      </w:r>
      <w:r>
        <w:rPr>
          <w:rFonts w:hint="eastAsia" w:ascii="仿宋_GB2312" w:hAnsi="仿宋_GB2312" w:eastAsia="仿宋_GB2312" w:cs="仿宋_GB2312"/>
          <w:color w:val="000000"/>
          <w:sz w:val="32"/>
          <w:szCs w:val="32"/>
        </w:rPr>
        <w:t>使用</w:t>
      </w:r>
      <w:r>
        <w:rPr>
          <w:rFonts w:hint="eastAsia" w:ascii="仿宋_GB2312" w:hAnsi="仿宋_GB2312" w:eastAsia="仿宋_GB2312" w:cs="仿宋_GB2312"/>
          <w:b w:val="0"/>
          <w:color w:val="000000"/>
          <w:sz w:val="32"/>
          <w:szCs w:val="32"/>
        </w:rPr>
        <w:t>国有资本经营</w:t>
      </w:r>
      <w:r>
        <w:rPr>
          <w:rFonts w:hint="eastAsia" w:ascii="仿宋_GB2312" w:hAnsi="仿宋_GB2312" w:eastAsia="仿宋_GB2312" w:cs="仿宋_GB2312"/>
          <w:color w:val="000000"/>
          <w:sz w:val="32"/>
          <w:szCs w:val="32"/>
        </w:rPr>
        <w:t>预算拨款安排的支出。</w:t>
      </w:r>
    </w:p>
    <w:p>
      <w:pPr>
        <w:ind w:firstLine="321" w:firstLineChars="100"/>
        <w:rPr>
          <w:rStyle w:val="11"/>
          <w:rFonts w:hint="eastAsia" w:ascii="Adobe 仿宋 Std R" w:hAnsi="Adobe 仿宋 Std R" w:eastAsia="Adobe 仿宋 Std R"/>
          <w:b/>
          <w:sz w:val="32"/>
          <w:szCs w:val="32"/>
        </w:rPr>
      </w:pPr>
      <w:r>
        <w:rPr>
          <w:rStyle w:val="11"/>
          <w:rFonts w:hint="eastAsia" w:ascii="Adobe 仿宋 Std R" w:hAnsi="Adobe 仿宋 Std R" w:eastAsia="Adobe 仿宋 Std R"/>
          <w:b/>
          <w:sz w:val="32"/>
          <w:szCs w:val="32"/>
        </w:rPr>
        <w:fldChar w:fldCharType="begin"/>
      </w:r>
      <w:r>
        <w:rPr>
          <w:rStyle w:val="11"/>
          <w:rFonts w:hint="eastAsia" w:ascii="Adobe 仿宋 Std R" w:hAnsi="Adobe 仿宋 Std R" w:eastAsia="Adobe 仿宋 Std R"/>
          <w:b/>
          <w:sz w:val="32"/>
          <w:szCs w:val="32"/>
        </w:rPr>
        <w:instrText xml:space="preserve">MERGEFIELD ${page540426799.ds357974894_REP_BGT_T_HC1100002019_DXQ02DW_JBZCQKGY}</w:instrText>
      </w:r>
      <w:r>
        <w:rPr>
          <w:rStyle w:val="11"/>
          <w:rFonts w:hint="eastAsia" w:ascii="Adobe 仿宋 Std R" w:hAnsi="Adobe 仿宋 Std R" w:eastAsia="Adobe 仿宋 Std R"/>
          <w:b/>
          <w:sz w:val="32"/>
          <w:szCs w:val="32"/>
        </w:rPr>
        <w:fldChar w:fldCharType="end"/>
      </w:r>
      <w:r>
        <w:rPr>
          <w:rStyle w:val="11"/>
          <w:rFonts w:hint="eastAsia" w:ascii="Adobe 仿宋 Std R" w:hAnsi="Adobe 仿宋 Std R" w:eastAsia="Adobe 仿宋 Std R"/>
          <w:b/>
          <w:sz w:val="32"/>
          <w:szCs w:val="32"/>
        </w:rPr>
        <w:t>(六)机关运行经费等重要事项的说明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color w:val="000000"/>
          <w:sz w:val="32"/>
          <w:szCs w:val="32"/>
        </w:rPr>
        <w:t>本单位非行政参公单位，无机关运行经费</w:t>
      </w:r>
      <w:r>
        <w:rPr>
          <w:rFonts w:hint="eastAsia" w:ascii="仿宋_GB2312" w:hAnsi="仿宋_GB2312" w:eastAsia="仿宋_GB2312" w:cs="仿宋_GB2312"/>
          <w:color w:val="000000"/>
          <w:sz w:val="32"/>
          <w:szCs w:val="32"/>
          <w:lang w:eastAsia="zh-CN"/>
        </w:rPr>
        <w:t>。</w:t>
      </w:r>
    </w:p>
    <w:p>
      <w:pPr>
        <w:ind w:firstLine="321"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(七)政府采购情况</w:t>
      </w:r>
    </w:p>
    <w:p>
      <w:pPr>
        <w:rPr>
          <w:rFonts w:hint="eastAsia" w:ascii="仿宋_GB2312" w:hAnsi="仿宋_GB2312" w:eastAsia="仿宋_GB2312" w:cs="仿宋_GB2312"/>
          <w:color w:val="000000"/>
          <w:sz w:val="32"/>
          <w:szCs w:val="32"/>
        </w:rPr>
      </w:pPr>
      <w:r>
        <w:rPr>
          <w:rStyle w:val="11"/>
          <w:rFonts w:hint="eastAsia" w:asciiTheme="majorEastAsia" w:hAnsiTheme="majorEastAsia" w:eastAsiaTheme="majorEastAsia"/>
          <w:b/>
          <w:sz w:val="32"/>
          <w:szCs w:val="32"/>
        </w:rPr>
        <w:t xml:space="preserve">   </w:t>
      </w:r>
      <w:r>
        <w:rPr>
          <w:rFonts w:hint="eastAsia" w:ascii="仿宋_GB2312" w:hAnsi="仿宋_GB2312" w:eastAsia="仿宋_GB2312" w:cs="仿宋_GB2312"/>
          <w:color w:val="000000"/>
          <w:sz w:val="32"/>
          <w:szCs w:val="32"/>
        </w:rPr>
        <w:t>2023年政府采购总额</w:t>
      </w:r>
      <w:r>
        <w:rPr>
          <w:rFonts w:hint="eastAsia" w:ascii="仿宋_GB2312" w:hAnsi="仿宋_GB2312" w:eastAsia="仿宋_GB2312" w:cs="仿宋_GB2312"/>
          <w:color w:val="000000"/>
          <w:sz w:val="32"/>
          <w:szCs w:val="32"/>
          <w:lang w:val="en-US" w:eastAsia="zh-CN"/>
        </w:rPr>
        <w:t>405</w:t>
      </w:r>
      <w:r>
        <w:rPr>
          <w:rFonts w:hint="eastAsia" w:ascii="仿宋_GB2312" w:hAnsi="仿宋_GB2312" w:eastAsia="仿宋_GB2312" w:cs="仿宋_GB2312"/>
          <w:color w:val="000000"/>
          <w:sz w:val="32"/>
          <w:szCs w:val="32"/>
        </w:rPr>
        <w:t>万元,其中: 政府采购货物预算</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 政府采购工程预算</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MERGEFIELD ${page540426799.ds342351435_REP_3600_BGT_GOVPUR_DXQDW_CGGC}</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万元, 政府采购服务预算</w:t>
      </w:r>
      <w:r>
        <w:rPr>
          <w:rFonts w:hint="eastAsia" w:ascii="仿宋_GB2312" w:hAnsi="仿宋_GB2312" w:eastAsia="仿宋_GB2312" w:cs="仿宋_GB2312"/>
          <w:color w:val="000000"/>
          <w:sz w:val="32"/>
          <w:szCs w:val="32"/>
          <w:lang w:val="en-US" w:eastAsia="zh-CN"/>
        </w:rPr>
        <w:t>405</w:t>
      </w:r>
      <w:r>
        <w:rPr>
          <w:rFonts w:hint="eastAsia" w:ascii="仿宋_GB2312" w:hAnsi="仿宋_GB2312" w:eastAsia="仿宋_GB2312" w:cs="仿宋_GB2312"/>
          <w:color w:val="000000"/>
          <w:sz w:val="32"/>
          <w:szCs w:val="32"/>
        </w:rPr>
        <w:t>万元。</w:t>
      </w:r>
    </w:p>
    <w:p>
      <w:pPr>
        <w:ind w:firstLine="321"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(八)国有资产占有使用情况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截至2021年</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月31日，</w:t>
      </w:r>
      <w:r>
        <w:rPr>
          <w:rFonts w:hint="eastAsia" w:ascii="仿宋_GB2312" w:hAnsi="仿宋_GB2312" w:eastAsia="仿宋_GB2312" w:cs="仿宋_GB2312"/>
          <w:sz w:val="32"/>
          <w:szCs w:val="32"/>
        </w:rPr>
        <w:t>单位共有车辆</w:t>
      </w:r>
      <w:r>
        <w:rPr>
          <w:rFonts w:hint="eastAsia" w:ascii="仿宋_GB2312" w:hAnsi="仿宋_GB2312" w:eastAsia="仿宋_GB2312" w:cs="仿宋_GB2312"/>
          <w:sz w:val="32"/>
          <w:szCs w:val="32"/>
          <w:lang w:val="en-US" w:eastAsia="zh-CN"/>
        </w:rPr>
        <w:t>0辆</w:t>
      </w:r>
      <w:r>
        <w:rPr>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Style w:val="11"/>
          <w:rFonts w:ascii="Adobe 仿宋 Std R" w:hAnsi="Adobe 仿宋 Std R" w:eastAsia="Adobe 仿宋 Std R"/>
          <w:b/>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本单位无</w:t>
      </w:r>
      <w:r>
        <w:rPr>
          <w:rFonts w:hint="eastAsia" w:ascii="仿宋_GB2312" w:hAnsi="仿宋_GB2312" w:eastAsia="仿宋_GB2312" w:cs="仿宋_GB2312"/>
          <w:color w:val="000000"/>
          <w:sz w:val="32"/>
          <w:szCs w:val="32"/>
        </w:rPr>
        <w:t>预算安排购置车辆。</w:t>
      </w:r>
    </w:p>
    <w:p>
      <w:pPr>
        <w:ind w:firstLine="321" w:firstLineChars="100"/>
        <w:rPr>
          <w:rFonts w:hint="eastAsia" w:ascii="楷体" w:hAnsi="楷体" w:eastAsia="楷体" w:cs="楷体"/>
          <w:b/>
          <w:color w:val="000000"/>
          <w:sz w:val="32"/>
          <w:szCs w:val="32"/>
        </w:rPr>
      </w:pPr>
      <w:r>
        <w:rPr>
          <w:rStyle w:val="11"/>
          <w:rFonts w:hint="eastAsia" w:ascii="Adobe 仿宋 Std R" w:hAnsi="Adobe 仿宋 Std R" w:eastAsia="Adobe 仿宋 Std R"/>
          <w:b/>
          <w:sz w:val="32"/>
          <w:szCs w:val="32"/>
        </w:rPr>
        <w:t>（九）绩效目标设置情况</w:t>
      </w:r>
    </w:p>
    <w:p>
      <w:pPr>
        <w:pStyle w:val="2"/>
        <w:keepNext w:val="0"/>
        <w:keepLines w:val="0"/>
        <w:pageBreakBefore w:val="0"/>
        <w:widowControl/>
        <w:kinsoku/>
        <w:wordWrap/>
        <w:overflowPunct/>
        <w:topLinePunct w:val="0"/>
        <w:autoSpaceDE/>
        <w:autoSpaceDN/>
        <w:bidi w:val="0"/>
        <w:adjustRightInd/>
        <w:snapToGrid/>
        <w:spacing w:after="0" w:line="360" w:lineRule="auto"/>
        <w:ind w:firstLine="643" w:firstLineChars="200"/>
        <w:textAlignment w:val="auto"/>
        <w:rPr>
          <w:rFonts w:hint="eastAsia" w:ascii="仿宋_GB2312" w:hAnsi="仿宋_GB2312" w:cs="仿宋_GB2312"/>
          <w:b/>
          <w:bCs/>
          <w:color w:val="000000"/>
          <w:sz w:val="32"/>
          <w:szCs w:val="32"/>
          <w:lang w:val="en-US" w:eastAsia="zh-CN"/>
        </w:rPr>
      </w:pPr>
      <w:r>
        <w:rPr>
          <w:rFonts w:hint="eastAsia" w:ascii="仿宋_GB2312" w:hAnsi="仿宋_GB2312" w:cs="仿宋_GB2312"/>
          <w:b/>
          <w:bCs/>
          <w:color w:val="000000"/>
          <w:sz w:val="32"/>
          <w:szCs w:val="32"/>
          <w:lang w:val="en-US" w:eastAsia="zh-CN"/>
        </w:rPr>
        <w:t>1.大学科技城双创环境打造经费</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1）项目概述。主要用于</w:t>
      </w:r>
      <w:r>
        <w:rPr>
          <w:rFonts w:hint="eastAsia" w:ascii="Times New Roman" w:hAnsi="Times New Roman" w:eastAsia="仿宋_GB2312" w:cs="Times New Roman"/>
          <w:bCs w:val="0"/>
          <w:iCs w:val="0"/>
          <w:sz w:val="32"/>
          <w:szCs w:val="32"/>
          <w:lang w:val="en-US" w:eastAsia="zh-CN"/>
        </w:rPr>
        <w:t>大学科技城园区环境打造相关费用，</w:t>
      </w:r>
      <w:r>
        <w:rPr>
          <w:rFonts w:hint="eastAsia" w:ascii="Times New Roman" w:hAnsi="Times New Roman" w:eastAsia="仿宋_GB2312" w:cs="Times New Roman"/>
          <w:bCs w:val="0"/>
          <w:iCs w:val="0"/>
          <w:sz w:val="32"/>
          <w:szCs w:val="32"/>
          <w:lang w:eastAsia="zh-CN"/>
        </w:rPr>
        <w:t>如园区场地建设及装修等</w:t>
      </w:r>
      <w:r>
        <w:rPr>
          <w:rFonts w:hint="default" w:ascii="Times New Roman" w:hAnsi="Times New Roman" w:eastAsia="仿宋_GB2312" w:cs="Times New Roman"/>
          <w:bCs w:val="0"/>
          <w:iCs w:val="0"/>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2）立项依据。洪高新管办抄字〔</w:t>
      </w:r>
      <w:r>
        <w:rPr>
          <w:rFonts w:hint="eastAsia" w:ascii="Times New Roman" w:hAnsi="Times New Roman" w:eastAsia="仿宋_GB2312" w:cs="Times New Roman"/>
          <w:bCs w:val="0"/>
          <w:iCs w:val="0"/>
          <w:sz w:val="32"/>
          <w:szCs w:val="32"/>
          <w:lang w:val="en-US" w:eastAsia="zh-CN"/>
        </w:rPr>
        <w:t>2021</w:t>
      </w:r>
      <w:r>
        <w:rPr>
          <w:rFonts w:hint="default" w:ascii="Times New Roman" w:hAnsi="Times New Roman" w:eastAsia="仿宋_GB2312" w:cs="Times New Roman"/>
          <w:bCs w:val="0"/>
          <w:iCs w:val="0"/>
          <w:sz w:val="32"/>
          <w:szCs w:val="32"/>
          <w:lang w:eastAsia="zh-CN"/>
        </w:rPr>
        <w:t>〕23号。</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3）实施主体。</w:t>
      </w:r>
      <w:r>
        <w:rPr>
          <w:rFonts w:hint="eastAsia" w:ascii="Times New Roman" w:hAnsi="Times New Roman" w:eastAsia="仿宋_GB2312" w:cs="Times New Roman"/>
          <w:bCs w:val="0"/>
          <w:iCs w:val="0"/>
          <w:sz w:val="32"/>
          <w:szCs w:val="32"/>
          <w:lang w:val="en-US" w:eastAsia="zh-CN"/>
        </w:rPr>
        <w:t>运行管理</w:t>
      </w:r>
      <w:r>
        <w:rPr>
          <w:rFonts w:hint="default" w:ascii="Times New Roman" w:hAnsi="Times New Roman" w:eastAsia="仿宋_GB2312" w:cs="Times New Roman"/>
          <w:bCs w:val="0"/>
          <w:iCs w:val="0"/>
          <w:sz w:val="32"/>
          <w:szCs w:val="32"/>
          <w:lang w:val="en-US" w:eastAsia="zh-CN"/>
        </w:rPr>
        <w:t>科</w:t>
      </w:r>
      <w:r>
        <w:rPr>
          <w:rFonts w:hint="default" w:ascii="Times New Roman" w:hAnsi="Times New Roman" w:eastAsia="仿宋_GB2312" w:cs="Times New Roman"/>
          <w:bCs w:val="0"/>
          <w:iCs w:val="0"/>
          <w:sz w:val="32"/>
          <w:szCs w:val="32"/>
          <w:lang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4）实施方案。由</w:t>
      </w:r>
      <w:r>
        <w:rPr>
          <w:rFonts w:hint="eastAsia" w:ascii="Times New Roman" w:hAnsi="Times New Roman" w:eastAsia="仿宋_GB2312" w:cs="Times New Roman"/>
          <w:bCs w:val="0"/>
          <w:iCs w:val="0"/>
          <w:sz w:val="32"/>
          <w:szCs w:val="32"/>
          <w:lang w:val="en-US" w:eastAsia="zh-CN"/>
        </w:rPr>
        <w:t>运行管理</w:t>
      </w:r>
      <w:r>
        <w:rPr>
          <w:rFonts w:hint="default" w:ascii="Times New Roman" w:hAnsi="Times New Roman" w:eastAsia="仿宋_GB2312" w:cs="Times New Roman"/>
          <w:bCs w:val="0"/>
          <w:iCs w:val="0"/>
          <w:sz w:val="32"/>
          <w:szCs w:val="32"/>
          <w:lang w:val="en-US" w:eastAsia="zh-CN"/>
        </w:rPr>
        <w:t>科</w:t>
      </w:r>
      <w:r>
        <w:rPr>
          <w:rFonts w:hint="default" w:ascii="Times New Roman" w:hAnsi="Times New Roman" w:eastAsia="仿宋_GB2312" w:cs="Times New Roman"/>
          <w:bCs w:val="0"/>
          <w:iCs w:val="0"/>
          <w:sz w:val="32"/>
          <w:szCs w:val="32"/>
          <w:lang w:eastAsia="zh-CN"/>
        </w:rPr>
        <w:t>组织实施</w:t>
      </w:r>
      <w:r>
        <w:rPr>
          <w:rFonts w:hint="eastAsia" w:ascii="Times New Roman" w:hAnsi="Times New Roman" w:eastAsia="仿宋_GB2312" w:cs="Times New Roman"/>
          <w:bCs w:val="0"/>
          <w:iCs w:val="0"/>
          <w:sz w:val="32"/>
          <w:szCs w:val="32"/>
          <w:lang w:eastAsia="zh-CN"/>
        </w:rPr>
        <w:t>大学科技城双创环境打造</w:t>
      </w:r>
      <w:r>
        <w:rPr>
          <w:rFonts w:hint="default" w:ascii="Times New Roman" w:hAnsi="Times New Roman" w:eastAsia="仿宋_GB2312" w:cs="Times New Roman"/>
          <w:bCs w:val="0"/>
          <w:iCs w:val="0"/>
          <w:sz w:val="32"/>
          <w:szCs w:val="32"/>
          <w:lang w:eastAsia="zh-CN"/>
        </w:rPr>
        <w:t>项目，对项目内容、项目资金使用及项目管理进行总结、分析，填报项目支出。</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 xml:space="preserve">5）实施周期。2023年1月1日-2023年12月31日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6）年度预算安排。预算金额为：</w:t>
      </w:r>
      <w:r>
        <w:rPr>
          <w:rFonts w:hint="eastAsia" w:ascii="Times New Roman" w:hAnsi="Times New Roman" w:eastAsia="仿宋_GB2312" w:cs="Times New Roman"/>
          <w:bCs w:val="0"/>
          <w:iCs w:val="0"/>
          <w:sz w:val="32"/>
          <w:szCs w:val="32"/>
          <w:lang w:val="en-US" w:eastAsia="zh-CN"/>
        </w:rPr>
        <w:t>400</w:t>
      </w:r>
      <w:r>
        <w:rPr>
          <w:rFonts w:hint="default" w:ascii="Times New Roman" w:hAnsi="Times New Roman" w:eastAsia="仿宋_GB2312" w:cs="Times New Roman"/>
          <w:bCs w:val="0"/>
          <w:iCs w:val="0"/>
          <w:sz w:val="32"/>
          <w:szCs w:val="32"/>
          <w:lang w:eastAsia="zh-CN"/>
        </w:rPr>
        <w:t>万元。</w:t>
      </w:r>
    </w:p>
    <w:p>
      <w:pPr>
        <w:pStyle w:val="2"/>
        <w:keepNext w:val="0"/>
        <w:keepLines w:val="0"/>
        <w:pageBreakBefore w:val="0"/>
        <w:widowControl/>
        <w:kinsoku/>
        <w:wordWrap/>
        <w:overflowPunct/>
        <w:topLinePunct w:val="0"/>
        <w:autoSpaceDE/>
        <w:autoSpaceDN/>
        <w:bidi w:val="0"/>
        <w:adjustRightInd/>
        <w:snapToGrid/>
        <w:spacing w:after="0" w:line="360" w:lineRule="auto"/>
        <w:ind w:firstLine="643"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lang w:val="en-US" w:eastAsia="zh-CN"/>
        </w:rPr>
        <w:t>.</w:t>
      </w:r>
      <w:r>
        <w:rPr>
          <w:rFonts w:hint="eastAsia" w:ascii="仿宋_GB2312" w:hAnsi="仿宋_GB2312" w:cs="仿宋_GB2312"/>
          <w:b/>
          <w:bCs/>
          <w:color w:val="000000"/>
          <w:sz w:val="32"/>
          <w:szCs w:val="32"/>
          <w:lang w:val="en-US" w:eastAsia="zh-CN"/>
        </w:rPr>
        <w:t>园区运营管理及维护专项</w:t>
      </w:r>
      <w:r>
        <w:rPr>
          <w:rFonts w:hint="eastAsia" w:ascii="仿宋_GB2312" w:hAnsi="仿宋_GB2312" w:eastAsia="仿宋_GB2312" w:cs="仿宋_GB2312"/>
          <w:b/>
          <w:bCs/>
          <w:color w:val="000000"/>
          <w:sz w:val="32"/>
          <w:szCs w:val="32"/>
          <w:lang w:val="en-US" w:eastAsia="zh-CN"/>
        </w:rPr>
        <w:t>经费</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1）项目概述。主要用于</w:t>
      </w:r>
      <w:r>
        <w:rPr>
          <w:rFonts w:hint="eastAsia" w:ascii="Times New Roman" w:hAnsi="Times New Roman" w:eastAsia="仿宋_GB2312" w:cs="Times New Roman"/>
          <w:bCs w:val="0"/>
          <w:iCs w:val="0"/>
          <w:sz w:val="32"/>
          <w:szCs w:val="32"/>
          <w:lang w:val="en-US" w:eastAsia="zh-CN"/>
        </w:rPr>
        <w:t>保障大学科技城园区运行、场地维保、场地物业等</w:t>
      </w:r>
      <w:r>
        <w:rPr>
          <w:rFonts w:hint="default" w:ascii="Times New Roman" w:hAnsi="Times New Roman" w:eastAsia="仿宋_GB2312" w:cs="Times New Roman"/>
          <w:bCs w:val="0"/>
          <w:iCs w:val="0"/>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2）立项依据。关于印发《大学科技城创新工场建设专题协调会会议纪要》的通知</w:t>
      </w:r>
      <w:r>
        <w:rPr>
          <w:rFonts w:hint="eastAsia" w:ascii="Times New Roman" w:hAnsi="Times New Roman" w:eastAsia="仿宋_GB2312" w:cs="Times New Roman"/>
          <w:bCs w:val="0"/>
          <w:iCs w:val="0"/>
          <w:sz w:val="32"/>
          <w:szCs w:val="32"/>
          <w:lang w:eastAsia="zh-CN"/>
        </w:rPr>
        <w:t>（</w:t>
      </w:r>
      <w:r>
        <w:rPr>
          <w:rFonts w:hint="default" w:ascii="Times New Roman" w:hAnsi="Times New Roman" w:eastAsia="仿宋_GB2312" w:cs="Times New Roman"/>
          <w:bCs w:val="0"/>
          <w:iCs w:val="0"/>
          <w:sz w:val="32"/>
          <w:szCs w:val="32"/>
          <w:lang w:eastAsia="zh-CN"/>
        </w:rPr>
        <w:t>洪高新管字〔</w:t>
      </w:r>
      <w:r>
        <w:rPr>
          <w:rFonts w:hint="eastAsia" w:ascii="Times New Roman" w:hAnsi="Times New Roman" w:eastAsia="仿宋_GB2312" w:cs="Times New Roman"/>
          <w:bCs w:val="0"/>
          <w:iCs w:val="0"/>
          <w:sz w:val="32"/>
          <w:szCs w:val="32"/>
          <w:lang w:val="en-US" w:eastAsia="zh-CN"/>
        </w:rPr>
        <w:t>2020</w:t>
      </w:r>
      <w:r>
        <w:rPr>
          <w:rFonts w:hint="default" w:ascii="Times New Roman" w:hAnsi="Times New Roman" w:eastAsia="仿宋_GB2312" w:cs="Times New Roman"/>
          <w:bCs w:val="0"/>
          <w:iCs w:val="0"/>
          <w:sz w:val="32"/>
          <w:szCs w:val="32"/>
          <w:lang w:eastAsia="zh-CN"/>
        </w:rPr>
        <w:t>〕36号</w:t>
      </w:r>
      <w:r>
        <w:rPr>
          <w:rFonts w:hint="eastAsia" w:ascii="Times New Roman" w:hAnsi="Times New Roman" w:eastAsia="仿宋_GB2312" w:cs="Times New Roman"/>
          <w:bCs w:val="0"/>
          <w:iCs w:val="0"/>
          <w:sz w:val="32"/>
          <w:szCs w:val="32"/>
          <w:lang w:eastAsia="zh-CN"/>
        </w:rPr>
        <w:t>）</w:t>
      </w:r>
      <w:r>
        <w:rPr>
          <w:rFonts w:hint="default" w:ascii="Times New Roman" w:hAnsi="Times New Roman" w:eastAsia="仿宋_GB2312" w:cs="Times New Roman"/>
          <w:bCs w:val="0"/>
          <w:iCs w:val="0"/>
          <w:sz w:val="32"/>
          <w:szCs w:val="32"/>
          <w:lang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3）实施主体。</w:t>
      </w:r>
      <w:r>
        <w:rPr>
          <w:rFonts w:hint="eastAsia" w:ascii="Times New Roman" w:hAnsi="Times New Roman" w:eastAsia="仿宋_GB2312" w:cs="Times New Roman"/>
          <w:bCs w:val="0"/>
          <w:iCs w:val="0"/>
          <w:sz w:val="32"/>
          <w:szCs w:val="32"/>
          <w:lang w:val="en-US" w:eastAsia="zh-CN"/>
        </w:rPr>
        <w:t>运行管理</w:t>
      </w:r>
      <w:r>
        <w:rPr>
          <w:rFonts w:hint="default" w:ascii="Times New Roman" w:hAnsi="Times New Roman" w:eastAsia="仿宋_GB2312" w:cs="Times New Roman"/>
          <w:bCs w:val="0"/>
          <w:iCs w:val="0"/>
          <w:sz w:val="32"/>
          <w:szCs w:val="32"/>
          <w:lang w:val="en-US" w:eastAsia="zh-CN"/>
        </w:rPr>
        <w:t>科</w:t>
      </w:r>
      <w:r>
        <w:rPr>
          <w:rFonts w:hint="default" w:ascii="Times New Roman" w:hAnsi="Times New Roman" w:eastAsia="仿宋_GB2312" w:cs="Times New Roman"/>
          <w:bCs w:val="0"/>
          <w:iCs w:val="0"/>
          <w:sz w:val="32"/>
          <w:szCs w:val="32"/>
          <w:lang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4）实施方案。由</w:t>
      </w:r>
      <w:r>
        <w:rPr>
          <w:rFonts w:hint="eastAsia" w:ascii="Times New Roman" w:hAnsi="Times New Roman" w:eastAsia="仿宋_GB2312" w:cs="Times New Roman"/>
          <w:bCs w:val="0"/>
          <w:iCs w:val="0"/>
          <w:sz w:val="32"/>
          <w:szCs w:val="32"/>
          <w:lang w:val="en-US" w:eastAsia="zh-CN"/>
        </w:rPr>
        <w:t>运行管理</w:t>
      </w:r>
      <w:r>
        <w:rPr>
          <w:rFonts w:hint="default" w:ascii="Times New Roman" w:hAnsi="Times New Roman" w:eastAsia="仿宋_GB2312" w:cs="Times New Roman"/>
          <w:bCs w:val="0"/>
          <w:iCs w:val="0"/>
          <w:sz w:val="32"/>
          <w:szCs w:val="32"/>
          <w:lang w:val="en-US" w:eastAsia="zh-CN"/>
        </w:rPr>
        <w:t>科</w:t>
      </w:r>
      <w:r>
        <w:rPr>
          <w:rFonts w:hint="eastAsia" w:ascii="Times New Roman" w:hAnsi="Times New Roman" w:eastAsia="仿宋_GB2312" w:cs="Times New Roman"/>
          <w:bCs w:val="0"/>
          <w:iCs w:val="0"/>
          <w:sz w:val="32"/>
          <w:szCs w:val="32"/>
          <w:lang w:val="en-US" w:eastAsia="zh-CN"/>
        </w:rPr>
        <w:t>牵头</w:t>
      </w:r>
      <w:r>
        <w:rPr>
          <w:rFonts w:hint="default" w:ascii="Times New Roman" w:hAnsi="Times New Roman" w:eastAsia="仿宋_GB2312" w:cs="Times New Roman"/>
          <w:bCs w:val="0"/>
          <w:iCs w:val="0"/>
          <w:sz w:val="32"/>
          <w:szCs w:val="32"/>
          <w:lang w:eastAsia="zh-CN"/>
        </w:rPr>
        <w:t>组织实施</w:t>
      </w:r>
      <w:r>
        <w:rPr>
          <w:rFonts w:hint="eastAsia" w:ascii="Times New Roman" w:hAnsi="Times New Roman" w:eastAsia="仿宋_GB2312" w:cs="Times New Roman"/>
          <w:bCs w:val="0"/>
          <w:iCs w:val="0"/>
          <w:sz w:val="32"/>
          <w:szCs w:val="32"/>
          <w:lang w:eastAsia="zh-CN"/>
        </w:rPr>
        <w:t>园区运营管理及维护</w:t>
      </w:r>
      <w:r>
        <w:rPr>
          <w:rFonts w:hint="default" w:ascii="Times New Roman" w:hAnsi="Times New Roman" w:eastAsia="仿宋_GB2312" w:cs="Times New Roman"/>
          <w:bCs w:val="0"/>
          <w:iCs w:val="0"/>
          <w:sz w:val="32"/>
          <w:szCs w:val="32"/>
          <w:lang w:eastAsia="zh-CN"/>
        </w:rPr>
        <w:t>项目，对项目内容、项目资金使用及项目管理进行总结、分析，填报项目支出。</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 xml:space="preserve">5）实施周期。2023年1月1日-2023年12月31日 </w:t>
      </w:r>
    </w:p>
    <w:p>
      <w:pPr>
        <w:pStyle w:val="2"/>
        <w:keepNext w:val="0"/>
        <w:keepLines w:val="0"/>
        <w:pageBreakBefore w:val="0"/>
        <w:widowControl/>
        <w:kinsoku/>
        <w:wordWrap/>
        <w:overflowPunct/>
        <w:topLinePunct w:val="0"/>
        <w:autoSpaceDE/>
        <w:autoSpaceDN/>
        <w:bidi w:val="0"/>
        <w:adjustRightInd/>
        <w:snapToGrid/>
        <w:spacing w:after="0" w:line="360" w:lineRule="auto"/>
        <w:ind w:firstLine="640" w:firstLineChars="200"/>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6）年度预算安排。预算金额为：</w:t>
      </w:r>
      <w:r>
        <w:rPr>
          <w:rFonts w:hint="eastAsia" w:ascii="Times New Roman" w:hAnsi="Times New Roman" w:cs="Times New Roman"/>
          <w:bCs w:val="0"/>
          <w:iCs w:val="0"/>
          <w:sz w:val="32"/>
          <w:szCs w:val="32"/>
          <w:lang w:val="en-US" w:eastAsia="zh-CN"/>
        </w:rPr>
        <w:t>310</w:t>
      </w:r>
      <w:r>
        <w:rPr>
          <w:rFonts w:hint="default" w:ascii="Times New Roman" w:hAnsi="Times New Roman" w:eastAsia="仿宋_GB2312" w:cs="Times New Roman"/>
          <w:bCs w:val="0"/>
          <w:iCs w:val="0"/>
          <w:sz w:val="32"/>
          <w:szCs w:val="32"/>
          <w:lang w:eastAsia="zh-CN"/>
        </w:rPr>
        <w:t>万元。</w:t>
      </w:r>
    </w:p>
    <w:p>
      <w:pPr>
        <w:pStyle w:val="2"/>
        <w:keepNext w:val="0"/>
        <w:keepLines w:val="0"/>
        <w:pageBreakBefore w:val="0"/>
        <w:widowControl/>
        <w:kinsoku/>
        <w:wordWrap/>
        <w:overflowPunct/>
        <w:topLinePunct w:val="0"/>
        <w:autoSpaceDE/>
        <w:autoSpaceDN/>
        <w:bidi w:val="0"/>
        <w:adjustRightInd/>
        <w:snapToGrid/>
        <w:spacing w:after="0" w:line="360" w:lineRule="auto"/>
        <w:ind w:firstLine="643"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cs="仿宋_GB2312"/>
          <w:b/>
          <w:bCs/>
          <w:color w:val="000000"/>
          <w:sz w:val="32"/>
          <w:szCs w:val="32"/>
          <w:lang w:val="en-US" w:eastAsia="zh-CN"/>
        </w:rPr>
        <w:t>3</w:t>
      </w:r>
      <w:r>
        <w:rPr>
          <w:rFonts w:hint="eastAsia" w:ascii="仿宋_GB2312" w:hAnsi="仿宋_GB2312" w:eastAsia="仿宋_GB2312" w:cs="仿宋_GB2312"/>
          <w:b/>
          <w:bCs/>
          <w:color w:val="000000"/>
          <w:sz w:val="32"/>
          <w:szCs w:val="32"/>
          <w:lang w:val="en-US" w:eastAsia="zh-CN"/>
        </w:rPr>
        <w:t>.</w:t>
      </w:r>
      <w:r>
        <w:rPr>
          <w:rFonts w:hint="eastAsia" w:ascii="仿宋_GB2312" w:hAnsi="仿宋_GB2312" w:cs="仿宋_GB2312"/>
          <w:b/>
          <w:bCs/>
          <w:color w:val="000000"/>
          <w:sz w:val="32"/>
          <w:szCs w:val="32"/>
          <w:lang w:val="en-US" w:eastAsia="zh-CN"/>
        </w:rPr>
        <w:t>双创活动及交通等工作</w:t>
      </w:r>
      <w:r>
        <w:rPr>
          <w:rFonts w:hint="eastAsia" w:ascii="仿宋_GB2312" w:hAnsi="仿宋_GB2312" w:eastAsia="仿宋_GB2312" w:cs="仿宋_GB2312"/>
          <w:b/>
          <w:bCs/>
          <w:color w:val="000000"/>
          <w:sz w:val="32"/>
          <w:szCs w:val="32"/>
          <w:lang w:val="en-US" w:eastAsia="zh-CN"/>
        </w:rPr>
        <w:t>经费</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1）项目概述。主要用于</w:t>
      </w:r>
      <w:r>
        <w:rPr>
          <w:rFonts w:hint="eastAsia" w:ascii="Times New Roman" w:hAnsi="Times New Roman" w:eastAsia="仿宋_GB2312" w:cs="Times New Roman"/>
          <w:bCs w:val="0"/>
          <w:iCs w:val="0"/>
          <w:sz w:val="32"/>
          <w:szCs w:val="32"/>
          <w:lang w:val="en-US" w:eastAsia="zh-CN"/>
        </w:rPr>
        <w:t>举办第五届（江西）公共安全创新创业大赛及其他双创活动等</w:t>
      </w:r>
      <w:r>
        <w:rPr>
          <w:rFonts w:hint="default" w:ascii="Times New Roman" w:hAnsi="Times New Roman" w:eastAsia="仿宋_GB2312" w:cs="Times New Roman"/>
          <w:bCs w:val="0"/>
          <w:iCs w:val="0"/>
          <w:sz w:val="32"/>
          <w:szCs w:val="32"/>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2）立项依据。关于同意承办“中国公共安全创新创业大赛”的批复（洪高新管字〔2022〕47号）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3）实施主体。</w:t>
      </w:r>
      <w:r>
        <w:rPr>
          <w:rFonts w:hint="eastAsia" w:ascii="Times New Roman" w:hAnsi="Times New Roman" w:eastAsia="仿宋_GB2312" w:cs="Times New Roman"/>
          <w:bCs w:val="0"/>
          <w:iCs w:val="0"/>
          <w:sz w:val="32"/>
          <w:szCs w:val="32"/>
          <w:lang w:val="en-US" w:eastAsia="zh-CN"/>
        </w:rPr>
        <w:t>合作发展</w:t>
      </w:r>
      <w:r>
        <w:rPr>
          <w:rFonts w:hint="default" w:ascii="Times New Roman" w:hAnsi="Times New Roman" w:eastAsia="仿宋_GB2312" w:cs="Times New Roman"/>
          <w:bCs w:val="0"/>
          <w:iCs w:val="0"/>
          <w:sz w:val="32"/>
          <w:szCs w:val="32"/>
          <w:lang w:val="en-US" w:eastAsia="zh-CN"/>
        </w:rPr>
        <w:t>科</w:t>
      </w:r>
      <w:r>
        <w:rPr>
          <w:rFonts w:hint="default" w:ascii="Times New Roman" w:hAnsi="Times New Roman" w:eastAsia="仿宋_GB2312" w:cs="Times New Roman"/>
          <w:bCs w:val="0"/>
          <w:iCs w:val="0"/>
          <w:sz w:val="32"/>
          <w:szCs w:val="32"/>
          <w:lang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4）实施方案。由</w:t>
      </w:r>
      <w:r>
        <w:rPr>
          <w:rFonts w:hint="eastAsia" w:ascii="Times New Roman" w:hAnsi="Times New Roman" w:eastAsia="仿宋_GB2312" w:cs="Times New Roman"/>
          <w:bCs w:val="0"/>
          <w:iCs w:val="0"/>
          <w:sz w:val="32"/>
          <w:szCs w:val="32"/>
          <w:lang w:val="en-US" w:eastAsia="zh-CN"/>
        </w:rPr>
        <w:t>合作发展</w:t>
      </w:r>
      <w:r>
        <w:rPr>
          <w:rFonts w:hint="default" w:ascii="Times New Roman" w:hAnsi="Times New Roman" w:eastAsia="仿宋_GB2312" w:cs="Times New Roman"/>
          <w:bCs w:val="0"/>
          <w:iCs w:val="0"/>
          <w:sz w:val="32"/>
          <w:szCs w:val="32"/>
          <w:lang w:val="en-US" w:eastAsia="zh-CN"/>
        </w:rPr>
        <w:t>科</w:t>
      </w:r>
      <w:r>
        <w:rPr>
          <w:rFonts w:hint="eastAsia" w:ascii="Times New Roman" w:hAnsi="Times New Roman" w:eastAsia="仿宋_GB2312" w:cs="Times New Roman"/>
          <w:bCs w:val="0"/>
          <w:iCs w:val="0"/>
          <w:sz w:val="32"/>
          <w:szCs w:val="32"/>
          <w:lang w:val="en-US" w:eastAsia="zh-CN"/>
        </w:rPr>
        <w:t>牵头</w:t>
      </w:r>
      <w:r>
        <w:rPr>
          <w:rFonts w:hint="default" w:ascii="Times New Roman" w:hAnsi="Times New Roman" w:eastAsia="仿宋_GB2312" w:cs="Times New Roman"/>
          <w:bCs w:val="0"/>
          <w:iCs w:val="0"/>
          <w:sz w:val="32"/>
          <w:szCs w:val="32"/>
          <w:lang w:eastAsia="zh-CN"/>
        </w:rPr>
        <w:t>组织第五届（江西）公共安全创新创业大赛及其他双创活动等，对项目内容、项目资金使用及项目管理进行总结、分析，填报项目支出。</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 xml:space="preserve">5）实施周期。2023年1月1日-2023年12月31日 </w:t>
      </w:r>
    </w:p>
    <w:p>
      <w:pPr>
        <w:pStyle w:val="2"/>
        <w:keepNext w:val="0"/>
        <w:keepLines w:val="0"/>
        <w:pageBreakBefore w:val="0"/>
        <w:widowControl/>
        <w:kinsoku/>
        <w:wordWrap/>
        <w:overflowPunct/>
        <w:topLinePunct w:val="0"/>
        <w:autoSpaceDE/>
        <w:autoSpaceDN/>
        <w:bidi w:val="0"/>
        <w:adjustRightInd/>
        <w:snapToGrid/>
        <w:spacing w:after="0" w:line="360" w:lineRule="auto"/>
        <w:ind w:firstLine="640" w:firstLineChars="200"/>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6）年度预算安排。预算金额为：</w:t>
      </w:r>
      <w:r>
        <w:rPr>
          <w:rFonts w:hint="eastAsia" w:ascii="Times New Roman" w:hAnsi="Times New Roman" w:cs="Times New Roman"/>
          <w:bCs w:val="0"/>
          <w:iCs w:val="0"/>
          <w:sz w:val="32"/>
          <w:szCs w:val="32"/>
          <w:lang w:val="en-US" w:eastAsia="zh-CN"/>
        </w:rPr>
        <w:t>45</w:t>
      </w:r>
      <w:r>
        <w:rPr>
          <w:rFonts w:hint="default" w:ascii="Times New Roman" w:hAnsi="Times New Roman" w:eastAsia="仿宋_GB2312" w:cs="Times New Roman"/>
          <w:bCs w:val="0"/>
          <w:iCs w:val="0"/>
          <w:sz w:val="32"/>
          <w:szCs w:val="32"/>
          <w:lang w:eastAsia="zh-CN"/>
        </w:rPr>
        <w:t>万元。</w:t>
      </w:r>
    </w:p>
    <w:p>
      <w:pPr>
        <w:pStyle w:val="2"/>
        <w:keepNext w:val="0"/>
        <w:keepLines w:val="0"/>
        <w:pageBreakBefore w:val="0"/>
        <w:widowControl/>
        <w:kinsoku/>
        <w:wordWrap/>
        <w:overflowPunct/>
        <w:topLinePunct w:val="0"/>
        <w:autoSpaceDE/>
        <w:autoSpaceDN/>
        <w:bidi w:val="0"/>
        <w:adjustRightInd/>
        <w:snapToGrid/>
        <w:spacing w:after="0" w:line="360" w:lineRule="auto"/>
        <w:ind w:firstLine="643"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cs="仿宋_GB2312"/>
          <w:b/>
          <w:bCs/>
          <w:color w:val="000000"/>
          <w:sz w:val="32"/>
          <w:szCs w:val="32"/>
          <w:lang w:val="en-US" w:eastAsia="zh-CN"/>
        </w:rPr>
        <w:t>4</w:t>
      </w:r>
      <w:r>
        <w:rPr>
          <w:rFonts w:hint="eastAsia" w:ascii="仿宋_GB2312" w:hAnsi="仿宋_GB2312" w:eastAsia="仿宋_GB2312" w:cs="仿宋_GB2312"/>
          <w:b/>
          <w:bCs/>
          <w:color w:val="000000"/>
          <w:sz w:val="32"/>
          <w:szCs w:val="32"/>
          <w:lang w:val="en-US" w:eastAsia="zh-CN"/>
        </w:rPr>
        <w:t>.</w:t>
      </w:r>
      <w:r>
        <w:rPr>
          <w:rFonts w:hint="eastAsia" w:ascii="仿宋_GB2312" w:hAnsi="仿宋_GB2312" w:cs="仿宋_GB2312"/>
          <w:b/>
          <w:bCs/>
          <w:color w:val="000000"/>
          <w:sz w:val="32"/>
          <w:szCs w:val="32"/>
          <w:lang w:val="en-US" w:eastAsia="zh-CN"/>
        </w:rPr>
        <w:t>招商引资</w:t>
      </w:r>
      <w:r>
        <w:rPr>
          <w:rFonts w:hint="eastAsia" w:ascii="仿宋_GB2312" w:hAnsi="仿宋_GB2312" w:eastAsia="仿宋_GB2312" w:cs="仿宋_GB2312"/>
          <w:b/>
          <w:bCs/>
          <w:color w:val="000000"/>
          <w:sz w:val="32"/>
          <w:szCs w:val="32"/>
          <w:lang w:val="en-US" w:eastAsia="zh-CN"/>
        </w:rPr>
        <w:t>经费</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1）项目概述。主要用于</w:t>
      </w:r>
      <w:r>
        <w:rPr>
          <w:rFonts w:hint="eastAsia" w:ascii="Times New Roman" w:hAnsi="Times New Roman" w:eastAsia="仿宋_GB2312" w:cs="Times New Roman"/>
          <w:bCs w:val="0"/>
          <w:iCs w:val="0"/>
          <w:sz w:val="32"/>
          <w:szCs w:val="32"/>
          <w:lang w:val="en-US" w:eastAsia="zh-CN"/>
        </w:rPr>
        <w:t>招商引资相关经费，具体包括商务接待费、差旅费等。</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2）立项依据。南昌高新区2020年“招商引资提升年” 工作方案。</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3）实施主体。</w:t>
      </w:r>
      <w:r>
        <w:rPr>
          <w:rFonts w:hint="eastAsia" w:ascii="Times New Roman" w:hAnsi="Times New Roman" w:eastAsia="仿宋_GB2312" w:cs="Times New Roman"/>
          <w:bCs w:val="0"/>
          <w:iCs w:val="0"/>
          <w:sz w:val="32"/>
          <w:szCs w:val="32"/>
          <w:lang w:val="en-US" w:eastAsia="zh-CN"/>
        </w:rPr>
        <w:t>招商</w:t>
      </w:r>
      <w:r>
        <w:rPr>
          <w:rFonts w:hint="default" w:ascii="Times New Roman" w:hAnsi="Times New Roman" w:eastAsia="仿宋_GB2312" w:cs="Times New Roman"/>
          <w:bCs w:val="0"/>
          <w:iCs w:val="0"/>
          <w:sz w:val="32"/>
          <w:szCs w:val="32"/>
          <w:lang w:val="en-US" w:eastAsia="zh-CN"/>
        </w:rPr>
        <w:t>科</w:t>
      </w:r>
      <w:r>
        <w:rPr>
          <w:rFonts w:hint="default" w:ascii="Times New Roman" w:hAnsi="Times New Roman" w:eastAsia="仿宋_GB2312" w:cs="Times New Roman"/>
          <w:bCs w:val="0"/>
          <w:iCs w:val="0"/>
          <w:sz w:val="32"/>
          <w:szCs w:val="32"/>
          <w:lang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4）实施方案。由</w:t>
      </w:r>
      <w:r>
        <w:rPr>
          <w:rFonts w:hint="eastAsia" w:ascii="Times New Roman" w:hAnsi="Times New Roman" w:eastAsia="仿宋_GB2312" w:cs="Times New Roman"/>
          <w:bCs w:val="0"/>
          <w:iCs w:val="0"/>
          <w:sz w:val="32"/>
          <w:szCs w:val="32"/>
          <w:lang w:val="en-US" w:eastAsia="zh-CN"/>
        </w:rPr>
        <w:t>招商</w:t>
      </w:r>
      <w:r>
        <w:rPr>
          <w:rFonts w:hint="default" w:ascii="Times New Roman" w:hAnsi="Times New Roman" w:eastAsia="仿宋_GB2312" w:cs="Times New Roman"/>
          <w:bCs w:val="0"/>
          <w:iCs w:val="0"/>
          <w:sz w:val="32"/>
          <w:szCs w:val="32"/>
          <w:lang w:val="en-US" w:eastAsia="zh-CN"/>
        </w:rPr>
        <w:t>科</w:t>
      </w:r>
      <w:r>
        <w:rPr>
          <w:rFonts w:hint="default" w:ascii="Times New Roman" w:hAnsi="Times New Roman" w:eastAsia="仿宋_GB2312" w:cs="Times New Roman"/>
          <w:bCs w:val="0"/>
          <w:iCs w:val="0"/>
          <w:sz w:val="32"/>
          <w:szCs w:val="32"/>
          <w:lang w:eastAsia="zh-CN"/>
        </w:rPr>
        <w:t>组织</w:t>
      </w:r>
      <w:r>
        <w:rPr>
          <w:rFonts w:hint="eastAsia" w:ascii="Times New Roman" w:hAnsi="Times New Roman" w:eastAsia="仿宋_GB2312" w:cs="Times New Roman"/>
          <w:bCs w:val="0"/>
          <w:iCs w:val="0"/>
          <w:sz w:val="32"/>
          <w:szCs w:val="32"/>
          <w:lang w:eastAsia="zh-CN"/>
        </w:rPr>
        <w:t>招商引资相关活动</w:t>
      </w:r>
      <w:r>
        <w:rPr>
          <w:rFonts w:hint="default" w:ascii="Times New Roman" w:hAnsi="Times New Roman" w:eastAsia="仿宋_GB2312" w:cs="Times New Roman"/>
          <w:bCs w:val="0"/>
          <w:iCs w:val="0"/>
          <w:sz w:val="32"/>
          <w:szCs w:val="32"/>
          <w:lang w:eastAsia="zh-CN"/>
        </w:rPr>
        <w:t>，对项目内容、项目资金使用及项目管理进行总结、分析，填报项目支出。</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 xml:space="preserve">5）实施周期。2023年1月1日-2023年12月31日 </w:t>
      </w:r>
    </w:p>
    <w:p>
      <w:pPr>
        <w:pStyle w:val="2"/>
        <w:keepNext w:val="0"/>
        <w:keepLines w:val="0"/>
        <w:pageBreakBefore w:val="0"/>
        <w:widowControl/>
        <w:kinsoku/>
        <w:wordWrap/>
        <w:overflowPunct/>
        <w:topLinePunct w:val="0"/>
        <w:autoSpaceDE/>
        <w:autoSpaceDN/>
        <w:bidi w:val="0"/>
        <w:adjustRightInd/>
        <w:snapToGrid/>
        <w:spacing w:after="0" w:line="360" w:lineRule="auto"/>
        <w:ind w:firstLine="640" w:firstLineChars="200"/>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6）年度预算安排。预算金额为：</w:t>
      </w:r>
      <w:r>
        <w:rPr>
          <w:rFonts w:hint="eastAsia" w:ascii="Times New Roman" w:hAnsi="Times New Roman" w:cs="Times New Roman"/>
          <w:bCs w:val="0"/>
          <w:iCs w:val="0"/>
          <w:sz w:val="32"/>
          <w:szCs w:val="32"/>
          <w:lang w:val="en-US" w:eastAsia="zh-CN"/>
        </w:rPr>
        <w:t>20</w:t>
      </w:r>
      <w:r>
        <w:rPr>
          <w:rFonts w:hint="default" w:ascii="Times New Roman" w:hAnsi="Times New Roman" w:eastAsia="仿宋_GB2312" w:cs="Times New Roman"/>
          <w:bCs w:val="0"/>
          <w:iCs w:val="0"/>
          <w:sz w:val="32"/>
          <w:szCs w:val="32"/>
          <w:lang w:eastAsia="zh-CN"/>
        </w:rPr>
        <w:t>万元。</w:t>
      </w:r>
    </w:p>
    <w:p>
      <w:pPr>
        <w:pStyle w:val="2"/>
        <w:keepNext w:val="0"/>
        <w:keepLines w:val="0"/>
        <w:pageBreakBefore w:val="0"/>
        <w:widowControl/>
        <w:kinsoku/>
        <w:wordWrap/>
        <w:overflowPunct/>
        <w:topLinePunct w:val="0"/>
        <w:autoSpaceDE/>
        <w:autoSpaceDN/>
        <w:bidi w:val="0"/>
        <w:adjustRightInd/>
        <w:snapToGrid/>
        <w:spacing w:after="0" w:line="360" w:lineRule="auto"/>
        <w:ind w:firstLine="643"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cs="仿宋_GB2312"/>
          <w:b/>
          <w:bCs/>
          <w:color w:val="000000"/>
          <w:sz w:val="32"/>
          <w:szCs w:val="32"/>
          <w:lang w:val="en-US" w:eastAsia="zh-CN"/>
        </w:rPr>
        <w:t>5</w:t>
      </w:r>
      <w:r>
        <w:rPr>
          <w:rFonts w:hint="eastAsia" w:ascii="仿宋_GB2312" w:hAnsi="仿宋_GB2312" w:eastAsia="仿宋_GB2312" w:cs="仿宋_GB2312"/>
          <w:b/>
          <w:bCs/>
          <w:color w:val="000000"/>
          <w:sz w:val="32"/>
          <w:szCs w:val="32"/>
          <w:lang w:val="en-US" w:eastAsia="zh-CN"/>
        </w:rPr>
        <w:t>.</w:t>
      </w:r>
      <w:r>
        <w:rPr>
          <w:rFonts w:hint="eastAsia" w:ascii="仿宋_GB2312" w:hAnsi="仿宋_GB2312" w:cs="仿宋_GB2312"/>
          <w:b/>
          <w:bCs/>
          <w:color w:val="000000"/>
          <w:sz w:val="32"/>
          <w:szCs w:val="32"/>
          <w:lang w:val="en-US" w:eastAsia="zh-CN"/>
        </w:rPr>
        <w:t>工会</w:t>
      </w:r>
      <w:r>
        <w:rPr>
          <w:rFonts w:hint="eastAsia" w:ascii="仿宋_GB2312" w:hAnsi="仿宋_GB2312" w:eastAsia="仿宋_GB2312" w:cs="仿宋_GB2312"/>
          <w:b/>
          <w:bCs/>
          <w:color w:val="000000"/>
          <w:sz w:val="32"/>
          <w:szCs w:val="32"/>
          <w:lang w:val="en-US" w:eastAsia="zh-CN"/>
        </w:rPr>
        <w:t>经费</w:t>
      </w:r>
      <w:r>
        <w:rPr>
          <w:rFonts w:hint="eastAsia" w:ascii="仿宋_GB2312" w:hAnsi="仿宋_GB2312" w:cs="仿宋_GB2312"/>
          <w:b/>
          <w:bCs/>
          <w:color w:val="000000"/>
          <w:sz w:val="32"/>
          <w:szCs w:val="32"/>
          <w:lang w:val="en-US" w:eastAsia="zh-CN"/>
        </w:rPr>
        <w:t>及福利费</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1）项目概述。主要用于</w:t>
      </w:r>
      <w:r>
        <w:rPr>
          <w:rFonts w:hint="eastAsia" w:ascii="Times New Roman" w:hAnsi="Times New Roman" w:eastAsia="仿宋_GB2312" w:cs="Times New Roman"/>
          <w:bCs w:val="0"/>
          <w:iCs w:val="0"/>
          <w:sz w:val="32"/>
          <w:szCs w:val="32"/>
          <w:lang w:val="en-US" w:eastAsia="zh-CN"/>
        </w:rPr>
        <w:t>保障大学科技城工会正常运行。</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2）立项依据。江西省基层工会经费收支管理实施办法。</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3）实施主体。</w:t>
      </w:r>
      <w:r>
        <w:rPr>
          <w:rFonts w:hint="eastAsia" w:ascii="Times New Roman" w:hAnsi="Times New Roman" w:eastAsia="仿宋_GB2312" w:cs="Times New Roman"/>
          <w:bCs w:val="0"/>
          <w:iCs w:val="0"/>
          <w:sz w:val="32"/>
          <w:szCs w:val="32"/>
          <w:lang w:val="en-US" w:eastAsia="zh-CN"/>
        </w:rPr>
        <w:t>办公室</w:t>
      </w:r>
      <w:r>
        <w:rPr>
          <w:rFonts w:hint="default" w:ascii="Times New Roman" w:hAnsi="Times New Roman" w:eastAsia="仿宋_GB2312" w:cs="Times New Roman"/>
          <w:bCs w:val="0"/>
          <w:iCs w:val="0"/>
          <w:sz w:val="32"/>
          <w:szCs w:val="32"/>
          <w:lang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4）实施方案。由</w:t>
      </w:r>
      <w:r>
        <w:rPr>
          <w:rFonts w:hint="eastAsia" w:ascii="Times New Roman" w:hAnsi="Times New Roman" w:eastAsia="仿宋_GB2312" w:cs="Times New Roman"/>
          <w:bCs w:val="0"/>
          <w:iCs w:val="0"/>
          <w:sz w:val="32"/>
          <w:szCs w:val="32"/>
          <w:lang w:val="en-US" w:eastAsia="zh-CN"/>
        </w:rPr>
        <w:t>办公室</w:t>
      </w:r>
      <w:r>
        <w:rPr>
          <w:rFonts w:hint="eastAsia" w:ascii="Times New Roman" w:hAnsi="Times New Roman" w:eastAsia="仿宋_GB2312" w:cs="Times New Roman"/>
          <w:bCs w:val="0"/>
          <w:iCs w:val="0"/>
          <w:sz w:val="32"/>
          <w:szCs w:val="32"/>
          <w:lang w:eastAsia="zh-CN"/>
        </w:rPr>
        <w:t>负责大学科技城工会日常运行</w:t>
      </w:r>
      <w:r>
        <w:rPr>
          <w:rFonts w:hint="default" w:ascii="Times New Roman" w:hAnsi="Times New Roman" w:eastAsia="仿宋_GB2312" w:cs="Times New Roman"/>
          <w:bCs w:val="0"/>
          <w:iCs w:val="0"/>
          <w:sz w:val="32"/>
          <w:szCs w:val="32"/>
          <w:lang w:eastAsia="zh-CN"/>
        </w:rPr>
        <w:t>，对项目内容、项目资金使用及项目管理进行总结、分析，填报项目支出。</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bCs w:val="0"/>
          <w:iCs w:val="0"/>
          <w:sz w:val="32"/>
          <w:szCs w:val="32"/>
          <w:lang w:eastAsia="zh-CN"/>
        </w:rPr>
      </w:pPr>
      <w:r>
        <w:rPr>
          <w:rFonts w:hint="default" w:ascii="Times New Roman" w:hAnsi="Times New Roman" w:eastAsia="仿宋_GB2312" w:cs="Times New Roman"/>
          <w:bCs w:val="0"/>
          <w:iCs w:val="0"/>
          <w:sz w:val="32"/>
          <w:szCs w:val="32"/>
          <w:lang w:eastAsia="zh-CN"/>
        </w:rPr>
        <w:t xml:space="preserve">5）实施周期。2023年1月1日-2023年12月31日 </w:t>
      </w:r>
    </w:p>
    <w:p>
      <w:pPr>
        <w:pStyle w:val="2"/>
        <w:keepNext w:val="0"/>
        <w:keepLines w:val="0"/>
        <w:pageBreakBefore w:val="0"/>
        <w:widowControl/>
        <w:kinsoku/>
        <w:wordWrap/>
        <w:overflowPunct/>
        <w:topLinePunct w:val="0"/>
        <w:autoSpaceDE/>
        <w:autoSpaceDN/>
        <w:bidi w:val="0"/>
        <w:adjustRightInd/>
        <w:snapToGrid/>
        <w:spacing w:after="0" w:line="360" w:lineRule="auto"/>
        <w:ind w:firstLine="640" w:firstLineChars="200"/>
        <w:textAlignment w:val="auto"/>
        <w:rPr>
          <w:rFonts w:hint="default" w:ascii="Times New Roman" w:hAnsi="Times New Roman" w:eastAsia="仿宋_GB2312" w:cs="Times New Roman"/>
          <w:bCs w:val="0"/>
          <w:iCs w:val="0"/>
          <w:sz w:val="32"/>
          <w:szCs w:val="32"/>
          <w:lang w:val="en-US" w:eastAsia="zh-CN"/>
        </w:rPr>
      </w:pPr>
      <w:r>
        <w:rPr>
          <w:rFonts w:hint="default" w:ascii="Times New Roman" w:hAnsi="Times New Roman" w:eastAsia="仿宋_GB2312" w:cs="Times New Roman"/>
          <w:bCs w:val="0"/>
          <w:iCs w:val="0"/>
          <w:sz w:val="32"/>
          <w:szCs w:val="32"/>
          <w:lang w:eastAsia="zh-CN"/>
        </w:rPr>
        <w:t>6）年度预算安排。预算金额为：</w:t>
      </w:r>
      <w:r>
        <w:rPr>
          <w:rFonts w:hint="eastAsia" w:ascii="Times New Roman" w:hAnsi="Times New Roman" w:cs="Times New Roman"/>
          <w:bCs w:val="0"/>
          <w:iCs w:val="0"/>
          <w:sz w:val="32"/>
          <w:szCs w:val="32"/>
          <w:lang w:val="en-US" w:eastAsia="zh-CN"/>
        </w:rPr>
        <w:t>9</w:t>
      </w:r>
      <w:r>
        <w:rPr>
          <w:rFonts w:hint="default" w:ascii="Times New Roman" w:hAnsi="Times New Roman" w:eastAsia="仿宋_GB2312" w:cs="Times New Roman"/>
          <w:bCs w:val="0"/>
          <w:iCs w:val="0"/>
          <w:sz w:val="32"/>
          <w:szCs w:val="32"/>
          <w:lang w:eastAsia="zh-CN"/>
        </w:rPr>
        <w:t>万元。</w:t>
      </w:r>
    </w:p>
    <w:p>
      <w:pPr>
        <w:widowControl/>
        <w:spacing w:line="600" w:lineRule="exact"/>
        <w:ind w:firstLine="800" w:firstLineChars="250"/>
        <w:jc w:val="left"/>
        <w:rPr>
          <w:rFonts w:hint="eastAsia" w:ascii="仿宋_GB2312" w:hAnsi="仿宋_GB2312" w:eastAsia="仿宋_GB2312" w:cs="仿宋_GB2312"/>
          <w:color w:val="000000"/>
          <w:sz w:val="32"/>
          <w:szCs w:val="32"/>
          <w:lang w:val="en-US" w:eastAsia="zh-CN"/>
        </w:rPr>
      </w:pPr>
    </w:p>
    <w:p>
      <w:pPr>
        <w:widowControl/>
        <w:spacing w:line="580" w:lineRule="exact"/>
        <w:jc w:val="left"/>
        <w:rPr>
          <w:rFonts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rPr>
        <w:t>202</w:t>
      </w:r>
      <w:r>
        <w:rPr>
          <w:rFonts w:ascii="楷体_GB2312" w:eastAsia="楷体_GB2312"/>
          <w:b/>
          <w:sz w:val="32"/>
          <w:szCs w:val="30"/>
        </w:rPr>
        <w:t>3</w:t>
      </w:r>
      <w:r>
        <w:rPr>
          <w:rFonts w:hint="eastAsia" w:ascii="楷体_GB2312" w:eastAsia="楷体_GB2312"/>
          <w:b/>
          <w:sz w:val="32"/>
          <w:szCs w:val="30"/>
        </w:rPr>
        <w:t>年“三公</w:t>
      </w:r>
      <w:r>
        <w:rPr>
          <w:rFonts w:ascii="楷体_GB2312" w:eastAsia="楷体_GB2312"/>
          <w:b/>
          <w:sz w:val="32"/>
          <w:szCs w:val="30"/>
        </w:rPr>
        <w:t>”</w:t>
      </w:r>
      <w:r>
        <w:rPr>
          <w:rFonts w:hint="eastAsia" w:ascii="楷体_GB2312" w:eastAsia="楷体_GB2312"/>
          <w:b/>
          <w:sz w:val="32"/>
          <w:szCs w:val="30"/>
        </w:rPr>
        <w:t>经费预算情况说明</w:t>
      </w:r>
    </w:p>
    <w:p>
      <w:pPr>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2023年</w:t>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MERGEFIELD ${page540426799.ds254512694_REP_JXJC_AGENCY_WZR_NAME}</w:instrText>
      </w:r>
      <w:r>
        <w:rPr>
          <w:rFonts w:hint="eastAsia" w:ascii="仿宋_GB2312" w:hAnsi="仿宋_GB2312" w:eastAsia="仿宋_GB2312" w:cs="仿宋_GB2312"/>
          <w:bCs/>
          <w:sz w:val="32"/>
          <w:szCs w:val="32"/>
        </w:rPr>
        <w:fldChar w:fldCharType="separate"/>
      </w:r>
      <w:r>
        <w:rPr>
          <w:rFonts w:hint="eastAsia" w:ascii="仿宋_GB2312" w:hAnsi="仿宋_GB2312" w:eastAsia="仿宋_GB2312" w:cs="仿宋_GB2312"/>
          <w:bCs/>
          <w:sz w:val="32"/>
          <w:szCs w:val="32"/>
          <w:lang w:eastAsia="zh-CN"/>
        </w:rPr>
        <w:t>南昌（国家）大学科技城管理委员会</w:t>
      </w:r>
      <w:r>
        <w:rPr>
          <w:rFonts w:hint="eastAsia" w:ascii="仿宋_GB2312" w:hAnsi="仿宋_GB2312" w:eastAsia="仿宋_GB2312" w:cs="仿宋_GB2312"/>
        </w:rPr>
        <w:fldChar w:fldCharType="end"/>
      </w:r>
      <w:r>
        <w:rPr>
          <w:rFonts w:hint="eastAsia" w:ascii="仿宋_GB2312" w:hAnsi="仿宋_GB2312" w:eastAsia="仿宋_GB2312" w:cs="仿宋_GB2312"/>
          <w:bCs/>
          <w:sz w:val="32"/>
          <w:szCs w:val="32"/>
        </w:rPr>
        <w:t>"三公"经费财政拨款安排</w:t>
      </w:r>
      <w:r>
        <w:rPr>
          <w:rFonts w:hint="eastAsia" w:ascii="仿宋_GB2312" w:hAnsi="仿宋_GB2312" w:eastAsia="仿宋_GB2312" w:cs="仿宋_GB2312"/>
          <w:bCs/>
          <w:sz w:val="32"/>
          <w:szCs w:val="32"/>
          <w:lang w:val="en-US" w:eastAsia="zh-CN"/>
        </w:rPr>
        <w:t>0.8</w:t>
      </w:r>
      <w:r>
        <w:rPr>
          <w:rFonts w:hint="eastAsia" w:ascii="仿宋_GB2312" w:hAnsi="仿宋_GB2312" w:eastAsia="仿宋_GB2312" w:cs="仿宋_GB2312"/>
          <w:bCs/>
          <w:sz w:val="32"/>
          <w:szCs w:val="32"/>
        </w:rPr>
        <w:t>万元，其中：</w:t>
      </w:r>
    </w:p>
    <w:p>
      <w:pPr>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因公出国</w:t>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MERGEFIELD ${page540426799.ds357974894_REP_BGT_T_HC1100002019_DXQ02DW_ZCSG}</w:instrText>
      </w:r>
      <w:r>
        <w:rPr>
          <w:rFonts w:hint="eastAsia" w:ascii="仿宋_GB2312" w:hAnsi="仿宋_GB2312" w:eastAsia="仿宋_GB2312" w:cs="仿宋_GB2312"/>
          <w:bCs/>
          <w:sz w:val="32"/>
          <w:szCs w:val="32"/>
        </w:rPr>
        <w:fldChar w:fldCharType="separate"/>
      </w:r>
      <w:r>
        <w:rPr>
          <w:rFonts w:hint="eastAsia" w:ascii="仿宋_GB2312" w:hAnsi="仿宋_GB2312" w:eastAsia="仿宋_GB2312" w:cs="仿宋_GB2312"/>
          <w:bCs/>
          <w:sz w:val="32"/>
          <w:szCs w:val="32"/>
        </w:rPr>
        <w:t>0</w:t>
      </w:r>
      <w:r>
        <w:rPr>
          <w:rFonts w:hint="eastAsia" w:ascii="仿宋_GB2312" w:hAnsi="仿宋_GB2312" w:eastAsia="仿宋_GB2312" w:cs="仿宋_GB2312"/>
        </w:rPr>
        <w:fldChar w:fldCharType="end"/>
      </w:r>
      <w:r>
        <w:rPr>
          <w:rFonts w:hint="eastAsia" w:ascii="仿宋_GB2312" w:hAnsi="仿宋_GB2312" w:eastAsia="仿宋_GB2312" w:cs="仿宋_GB2312"/>
          <w:bCs/>
          <w:sz w:val="32"/>
          <w:szCs w:val="32"/>
        </w:rPr>
        <w:t>万元,比上年增（减）</w:t>
      </w:r>
      <w:r>
        <w:rPr>
          <w:rFonts w:hint="eastAsia" w:ascii="仿宋_GB2312" w:hAnsi="仿宋_GB2312" w:eastAsia="仿宋_GB2312" w:cs="仿宋_GB2312"/>
          <w:bCs/>
          <w:sz w:val="32"/>
          <w:szCs w:val="32"/>
          <w:lang w:val="en-US" w:eastAsia="zh-CN"/>
        </w:rPr>
        <w:t>0</w:t>
      </w:r>
      <w:r>
        <w:rPr>
          <w:rFonts w:hint="eastAsia" w:ascii="仿宋_GB2312" w:hAnsi="仿宋_GB2312" w:eastAsia="仿宋_GB2312" w:cs="仿宋_GB2312"/>
          <w:bCs/>
          <w:sz w:val="32"/>
          <w:szCs w:val="32"/>
        </w:rPr>
        <w:t>万元，主要原因是：</w:t>
      </w:r>
      <w:r>
        <w:rPr>
          <w:rFonts w:hint="eastAsia" w:ascii="仿宋_GB2312" w:hAnsi="仿宋_GB2312" w:eastAsia="仿宋_GB2312" w:cs="仿宋_GB2312"/>
          <w:bCs/>
          <w:sz w:val="32"/>
          <w:szCs w:val="32"/>
          <w:lang w:eastAsia="zh-CN"/>
        </w:rPr>
        <w:t>与上年安排保持一致</w:t>
      </w:r>
      <w:r>
        <w:rPr>
          <w:rFonts w:hint="eastAsia" w:ascii="仿宋_GB2312" w:hAnsi="仿宋_GB2312" w:eastAsia="仿宋_GB2312" w:cs="仿宋_GB2312"/>
          <w:bCs/>
          <w:sz w:val="32"/>
          <w:szCs w:val="32"/>
        </w:rPr>
        <w:t>。</w:t>
      </w:r>
    </w:p>
    <w:p>
      <w:pPr>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公务接待</w:t>
      </w:r>
      <w:r>
        <w:rPr>
          <w:rFonts w:hint="eastAsia" w:ascii="仿宋_GB2312" w:hAnsi="仿宋_GB2312" w:eastAsia="仿宋_GB2312" w:cs="仿宋_GB2312"/>
          <w:bCs/>
          <w:sz w:val="32"/>
          <w:szCs w:val="32"/>
          <w:lang w:val="en-US" w:eastAsia="zh-CN"/>
        </w:rPr>
        <w:t>0.8</w:t>
      </w:r>
      <w:r>
        <w:rPr>
          <w:rFonts w:hint="eastAsia" w:ascii="仿宋_GB2312" w:hAnsi="仿宋_GB2312" w:eastAsia="仿宋_GB2312" w:cs="仿宋_GB2312"/>
          <w:bCs/>
          <w:sz w:val="32"/>
          <w:szCs w:val="32"/>
        </w:rPr>
        <w:t>万元,比上年增（减）</w:t>
      </w:r>
      <w:r>
        <w:rPr>
          <w:rFonts w:hint="eastAsia" w:ascii="仿宋_GB2312" w:hAnsi="仿宋_GB2312" w:eastAsia="仿宋_GB2312" w:cs="仿宋_GB2312"/>
          <w:bCs/>
          <w:sz w:val="32"/>
          <w:szCs w:val="32"/>
          <w:lang w:val="en-US" w:eastAsia="zh-CN"/>
        </w:rPr>
        <w:t>0</w:t>
      </w:r>
      <w:r>
        <w:rPr>
          <w:rFonts w:hint="eastAsia" w:ascii="仿宋_GB2312" w:hAnsi="仿宋_GB2312" w:eastAsia="仿宋_GB2312" w:cs="仿宋_GB2312"/>
          <w:bCs/>
          <w:sz w:val="32"/>
          <w:szCs w:val="32"/>
        </w:rPr>
        <w:t>万元，主要原因是：</w:t>
      </w:r>
      <w:r>
        <w:rPr>
          <w:rFonts w:hint="eastAsia" w:ascii="仿宋_GB2312" w:hAnsi="仿宋_GB2312" w:eastAsia="仿宋_GB2312" w:cs="仿宋_GB2312"/>
          <w:bCs/>
          <w:sz w:val="32"/>
          <w:szCs w:val="32"/>
          <w:lang w:eastAsia="zh-CN"/>
        </w:rPr>
        <w:t>与上年安排保持一致</w:t>
      </w:r>
      <w:r>
        <w:rPr>
          <w:rFonts w:hint="eastAsia" w:ascii="仿宋_GB2312" w:hAnsi="仿宋_GB2312" w:eastAsia="仿宋_GB2312" w:cs="仿宋_GB2312"/>
          <w:bCs/>
          <w:sz w:val="32"/>
          <w:szCs w:val="32"/>
        </w:rPr>
        <w:t>。</w:t>
      </w:r>
    </w:p>
    <w:p>
      <w:pPr>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公务用车运行</w:t>
      </w:r>
      <w:r>
        <w:rPr>
          <w:rFonts w:hint="eastAsia" w:ascii="仿宋_GB2312" w:hAnsi="仿宋_GB2312" w:eastAsia="仿宋_GB2312" w:cs="仿宋_GB2312"/>
          <w:bCs/>
          <w:sz w:val="32"/>
          <w:szCs w:val="32"/>
          <w:lang w:val="en-US" w:eastAsia="zh-CN"/>
        </w:rPr>
        <w:t>0</w:t>
      </w:r>
      <w:r>
        <w:rPr>
          <w:rFonts w:hint="eastAsia" w:ascii="仿宋_GB2312" w:hAnsi="仿宋_GB2312" w:eastAsia="仿宋_GB2312" w:cs="仿宋_GB2312"/>
          <w:bCs/>
          <w:sz w:val="32"/>
          <w:szCs w:val="32"/>
        </w:rPr>
        <w:t>万元,比上年增（减）</w:t>
      </w:r>
      <w:r>
        <w:rPr>
          <w:rFonts w:hint="eastAsia" w:ascii="仿宋_GB2312" w:hAnsi="仿宋_GB2312" w:eastAsia="仿宋_GB2312" w:cs="仿宋_GB2312"/>
          <w:bCs/>
          <w:sz w:val="32"/>
          <w:szCs w:val="32"/>
          <w:lang w:val="en-US" w:eastAsia="zh-CN"/>
        </w:rPr>
        <w:t>0</w:t>
      </w:r>
      <w:r>
        <w:rPr>
          <w:rFonts w:hint="eastAsia" w:ascii="仿宋_GB2312" w:hAnsi="仿宋_GB2312" w:eastAsia="仿宋_GB2312" w:cs="仿宋_GB2312"/>
          <w:bCs/>
          <w:sz w:val="32"/>
          <w:szCs w:val="32"/>
        </w:rPr>
        <w:t>万元，主要原因是：</w:t>
      </w:r>
      <w:r>
        <w:rPr>
          <w:rFonts w:hint="eastAsia" w:ascii="仿宋_GB2312" w:hAnsi="仿宋_GB2312" w:eastAsia="仿宋_GB2312" w:cs="仿宋_GB2312"/>
          <w:bCs/>
          <w:sz w:val="32"/>
          <w:szCs w:val="32"/>
          <w:lang w:eastAsia="zh-CN"/>
        </w:rPr>
        <w:t>与上年安排保持一致</w:t>
      </w:r>
      <w:r>
        <w:rPr>
          <w:rFonts w:hint="eastAsia" w:ascii="仿宋_GB2312" w:hAnsi="仿宋_GB2312" w:eastAsia="仿宋_GB2312" w:cs="仿宋_GB2312"/>
          <w:bCs/>
          <w:sz w:val="32"/>
          <w:szCs w:val="32"/>
        </w:rPr>
        <w:t>。</w:t>
      </w:r>
    </w:p>
    <w:p>
      <w:pPr>
        <w:ind w:firstLine="640" w:firstLineChars="200"/>
        <w:jc w:val="left"/>
        <w:rPr>
          <w:rFonts w:ascii="仿宋" w:hAnsi="仿宋" w:eastAsia="仿宋"/>
          <w:bCs/>
          <w:sz w:val="32"/>
          <w:szCs w:val="32"/>
        </w:rPr>
      </w:pPr>
      <w:r>
        <w:rPr>
          <w:rFonts w:hint="eastAsia" w:ascii="仿宋_GB2312" w:hAnsi="仿宋_GB2312" w:eastAsia="仿宋_GB2312" w:cs="仿宋_GB2312"/>
          <w:bCs/>
          <w:sz w:val="32"/>
          <w:szCs w:val="32"/>
        </w:rPr>
        <w:t>公务用车购置</w:t>
      </w: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MERGEFIELD ${page540426799.ds357974894_REP_BGT_T_HC1100002019_DXQ02DW_ZCSGGZ}</w:instrText>
      </w:r>
      <w:r>
        <w:rPr>
          <w:rFonts w:hint="eastAsia" w:ascii="仿宋_GB2312" w:hAnsi="仿宋_GB2312" w:eastAsia="仿宋_GB2312" w:cs="仿宋_GB2312"/>
          <w:bCs/>
          <w:sz w:val="32"/>
          <w:szCs w:val="32"/>
        </w:rPr>
        <w:fldChar w:fldCharType="separate"/>
      </w:r>
      <w:r>
        <w:rPr>
          <w:rFonts w:hint="eastAsia" w:ascii="仿宋_GB2312" w:hAnsi="仿宋_GB2312" w:eastAsia="仿宋_GB2312" w:cs="仿宋_GB2312"/>
          <w:bCs/>
          <w:sz w:val="32"/>
          <w:szCs w:val="32"/>
        </w:rPr>
        <w:t>0</w:t>
      </w:r>
      <w:r>
        <w:rPr>
          <w:rFonts w:hint="eastAsia" w:ascii="仿宋_GB2312" w:hAnsi="仿宋_GB2312" w:eastAsia="仿宋_GB2312" w:cs="仿宋_GB2312"/>
        </w:rPr>
        <w:fldChar w:fldCharType="end"/>
      </w:r>
      <w:r>
        <w:rPr>
          <w:rFonts w:hint="eastAsia" w:ascii="仿宋_GB2312" w:hAnsi="仿宋_GB2312" w:eastAsia="仿宋_GB2312" w:cs="仿宋_GB2312"/>
          <w:bCs/>
          <w:sz w:val="32"/>
          <w:szCs w:val="32"/>
        </w:rPr>
        <w:t>万元,比上年增（减）</w:t>
      </w:r>
      <w:r>
        <w:rPr>
          <w:rFonts w:hint="eastAsia" w:ascii="仿宋_GB2312" w:hAnsi="仿宋_GB2312" w:eastAsia="仿宋_GB2312" w:cs="仿宋_GB2312"/>
          <w:bCs/>
          <w:sz w:val="32"/>
          <w:szCs w:val="32"/>
          <w:lang w:val="en-US" w:eastAsia="zh-CN"/>
        </w:rPr>
        <w:t>0</w:t>
      </w:r>
      <w:r>
        <w:rPr>
          <w:rFonts w:hint="eastAsia" w:ascii="仿宋_GB2312" w:hAnsi="仿宋_GB2312" w:eastAsia="仿宋_GB2312" w:cs="仿宋_GB2312"/>
          <w:bCs/>
          <w:sz w:val="32"/>
          <w:szCs w:val="32"/>
        </w:rPr>
        <w:t>万元，主要原因是：</w:t>
      </w:r>
      <w:r>
        <w:rPr>
          <w:rFonts w:hint="eastAsia" w:ascii="仿宋_GB2312" w:hAnsi="仿宋_GB2312" w:eastAsia="仿宋_GB2312" w:cs="仿宋_GB2312"/>
          <w:bCs/>
          <w:sz w:val="32"/>
          <w:szCs w:val="32"/>
          <w:lang w:eastAsia="zh-CN"/>
        </w:rPr>
        <w:t>与上年安排保持一致</w:t>
      </w:r>
      <w:r>
        <w:rPr>
          <w:rFonts w:hint="eastAsia" w:ascii="仿宋_GB2312" w:hAnsi="仿宋_GB2312" w:eastAsia="仿宋_GB2312" w:cs="仿宋_GB2312"/>
          <w:bCs/>
          <w:sz w:val="32"/>
          <w:szCs w:val="32"/>
        </w:rPr>
        <w:t>。</w:t>
      </w:r>
      <w:r>
        <w:rPr>
          <w:rFonts w:ascii="仿宋" w:hAnsi="仿宋" w:eastAsia="仿宋"/>
          <w:bCs/>
          <w:sz w:val="32"/>
          <w:szCs w:val="32"/>
        </w:rPr>
        <w:fldChar w:fldCharType="begin"/>
      </w:r>
      <w:r>
        <w:rPr>
          <w:rFonts w:ascii="仿宋" w:hAnsi="仿宋" w:eastAsia="仿宋"/>
          <w:bCs/>
          <w:sz w:val="32"/>
          <w:szCs w:val="32"/>
        </w:rPr>
        <w:instrText xml:space="preserve">MERGEFIELD ${page400644146.ds215660413_REP_BGT_T_HC1100002019_DXQ02_ZCSGGZ}</w:instrText>
      </w:r>
      <w:r>
        <w:rPr>
          <w:rFonts w:ascii="仿宋" w:hAnsi="仿宋" w:eastAsia="仿宋"/>
          <w:bCs/>
          <w:sz w:val="32"/>
          <w:szCs w:val="32"/>
        </w:rPr>
        <w:fldChar w:fldCharType="end"/>
      </w:r>
    </w:p>
    <w:p>
      <w:pPr>
        <w:widowControl/>
        <w:spacing w:line="580" w:lineRule="exact"/>
        <w:jc w:val="center"/>
        <w:rPr>
          <w:rFonts w:hint="eastAsia" w:ascii="仿宋_GB2312" w:eastAsia="仿宋_GB2312"/>
          <w:b/>
          <w:bCs/>
          <w:color w:val="000000"/>
          <w:sz w:val="32"/>
          <w:szCs w:val="32"/>
          <w:lang w:eastAsia="zh-CN"/>
        </w:rPr>
      </w:pPr>
    </w:p>
    <w:p>
      <w:pPr>
        <w:widowControl/>
        <w:spacing w:line="580" w:lineRule="exact"/>
        <w:jc w:val="center"/>
        <w:rPr>
          <w:rFonts w:hint="eastAsia" w:ascii="仿宋_GB2312" w:eastAsia="仿宋_GB2312"/>
          <w:b/>
          <w:bCs/>
          <w:color w:val="000000"/>
          <w:sz w:val="32"/>
          <w:szCs w:val="32"/>
          <w:lang w:eastAsia="zh-CN"/>
        </w:rPr>
      </w:pPr>
      <w:r>
        <w:rPr>
          <w:rFonts w:hint="eastAsia" w:ascii="仿宋_GB2312" w:eastAsia="仿宋_GB2312"/>
          <w:b/>
          <w:bCs/>
          <w:color w:val="000000"/>
          <w:sz w:val="32"/>
          <w:szCs w:val="32"/>
          <w:lang w:eastAsia="zh-CN"/>
        </w:rPr>
        <w:t>第四部分   名词解释</w:t>
      </w:r>
    </w:p>
    <w:p>
      <w:pPr>
        <w:ind w:firstLine="640" w:firstLineChars="200"/>
        <w:rPr>
          <w:rFonts w:hint="eastAsia" w:ascii="Adobe 仿宋 Std R" w:hAnsi="Adobe 仿宋 Std R" w:eastAsia="Adobe 仿宋 Std R"/>
          <w:sz w:val="32"/>
          <w:szCs w:val="32"/>
        </w:rPr>
      </w:pPr>
      <w:r>
        <w:rPr>
          <w:rFonts w:hint="eastAsia" w:ascii="Adobe 仿宋 Std R" w:hAnsi="Adobe 仿宋 Std R" w:eastAsia="Adobe 仿宋 Std R"/>
          <w:sz w:val="32"/>
          <w:szCs w:val="32"/>
        </w:rPr>
        <w:t>一、收入科目</w:t>
      </w:r>
    </w:p>
    <w:p>
      <w:pPr>
        <w:widowControl/>
        <w:numPr>
          <w:ilvl w:val="0"/>
          <w:numId w:val="2"/>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财政拨款：指省级财政当年拨付的资金。</w:t>
      </w:r>
    </w:p>
    <w:p>
      <w:pPr>
        <w:widowControl/>
        <w:numPr>
          <w:ilvl w:val="0"/>
          <w:numId w:val="2"/>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（三）</w:t>
      </w:r>
      <w:r>
        <w:rPr>
          <w:rFonts w:hint="eastAsia" w:ascii="仿宋_GB2312" w:eastAsia="仿宋_GB2312"/>
          <w:color w:val="000000"/>
          <w:sz w:val="32"/>
          <w:szCs w:val="30"/>
        </w:rPr>
        <w:t>事业收入：指事业单位开展专业业务活动及辅助活动取得的收入。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（四）</w:t>
      </w:r>
      <w:r>
        <w:rPr>
          <w:rFonts w:hint="eastAsia" w:ascii="仿宋_GB2312" w:eastAsia="仿宋_GB2312"/>
          <w:color w:val="000000"/>
          <w:sz w:val="32"/>
          <w:szCs w:val="30"/>
        </w:rPr>
        <w:t>事业单位经营收入：指事业单位在专业业务活动及辅助活动之外开展非独立核算经营活动取得的收入。</w:t>
      </w:r>
    </w:p>
    <w:p>
      <w:pPr>
        <w:widowControl/>
        <w:spacing w:line="580" w:lineRule="exact"/>
        <w:ind w:firstLine="636"/>
        <w:jc w:val="left"/>
        <w:rPr>
          <w:rFonts w:ascii="Adobe 仿宋 Std R" w:hAnsi="Adobe 仿宋 Std R" w:eastAsia="Adobe 仿宋 Std R"/>
          <w:sz w:val="32"/>
          <w:szCs w:val="32"/>
        </w:rPr>
      </w:pPr>
      <w:r>
        <w:rPr>
          <w:rFonts w:hint="eastAsia" w:ascii="仿宋_GB2312" w:eastAsia="仿宋_GB2312"/>
          <w:sz w:val="32"/>
          <w:szCs w:val="30"/>
        </w:rPr>
        <w:t>（</w:t>
      </w:r>
      <w:r>
        <w:rPr>
          <w:rFonts w:hint="eastAsia" w:ascii="Adobe 仿宋 Std R" w:hAnsi="Adobe 仿宋 Std R" w:eastAsia="Adobe 仿宋 Std R"/>
          <w:sz w:val="32"/>
          <w:szCs w:val="32"/>
        </w:rPr>
        <w:t>五）</w:t>
      </w:r>
      <w:r>
        <w:rPr>
          <w:rFonts w:hint="eastAsia" w:ascii="仿宋_GB2312" w:eastAsia="仿宋_GB2312"/>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（六）</w:t>
      </w:r>
      <w:r>
        <w:rPr>
          <w:rFonts w:hint="eastAsia" w:ascii="仿宋_GB2312" w:eastAsia="仿宋_GB2312"/>
          <w:color w:val="000000"/>
          <w:sz w:val="32"/>
          <w:szCs w:val="30"/>
        </w:rPr>
        <w:t>上级补助收入：反映事业单位从主管部门和上级单位取得的非财政补助收入。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（七）</w:t>
      </w:r>
      <w:r>
        <w:rPr>
          <w:rFonts w:hint="eastAsia" w:ascii="仿宋_GB2312" w:eastAsia="仿宋_GB2312"/>
          <w:color w:val="000000"/>
          <w:sz w:val="32"/>
          <w:szCs w:val="30"/>
        </w:rPr>
        <w:t>其他收入：指除财政拨款、事业收入、事业单位经营收入等以外的各项收入。</w:t>
      </w:r>
    </w:p>
    <w:p>
      <w:pPr>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（八）</w:t>
      </w:r>
      <w:r>
        <w:rPr>
          <w:rFonts w:hint="eastAsia" w:ascii="仿宋_GB2312" w:eastAsia="仿宋_GB2312"/>
          <w:color w:val="000000"/>
          <w:sz w:val="32"/>
          <w:szCs w:val="30"/>
        </w:rPr>
        <w:t>使用非财政拨款结余：填列历年滚存的非限定用途的非统计财政拨款结余弥补202</w:t>
      </w:r>
      <w:r>
        <w:rPr>
          <w:rFonts w:ascii="仿宋_GB2312" w:eastAsia="仿宋_GB2312"/>
          <w:color w:val="000000"/>
          <w:sz w:val="32"/>
          <w:szCs w:val="30"/>
        </w:rPr>
        <w:t>3</w:t>
      </w:r>
      <w:r>
        <w:rPr>
          <w:rFonts w:hint="eastAsia" w:ascii="仿宋_GB2312" w:eastAsia="仿宋_GB2312"/>
          <w:color w:val="000000"/>
          <w:sz w:val="32"/>
          <w:szCs w:val="30"/>
        </w:rPr>
        <w:t>年收支差额的数额。</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（九）</w:t>
      </w:r>
      <w:r>
        <w:rPr>
          <w:rFonts w:hint="eastAsia" w:ascii="仿宋_GB2312" w:eastAsia="仿宋_GB2312"/>
          <w:color w:val="000000"/>
          <w:sz w:val="32"/>
          <w:szCs w:val="30"/>
        </w:rPr>
        <w:t>上年结转和结余：填列202</w:t>
      </w:r>
      <w:r>
        <w:rPr>
          <w:rFonts w:ascii="仿宋_GB2312" w:eastAsia="仿宋_GB2312"/>
          <w:color w:val="000000"/>
          <w:sz w:val="32"/>
          <w:szCs w:val="30"/>
        </w:rPr>
        <w:t>2</w:t>
      </w:r>
      <w:r>
        <w:rPr>
          <w:rFonts w:hint="eastAsia" w:ascii="仿宋_GB2312" w:eastAsia="仿宋_GB2312"/>
          <w:color w:val="000000"/>
          <w:sz w:val="32"/>
          <w:szCs w:val="30"/>
        </w:rPr>
        <w:t>年全部结转和结余的资金数，包括当年结转结余资金和历年滚存结转结余资金。</w:t>
      </w:r>
    </w:p>
    <w:p>
      <w:pPr>
        <w:ind w:firstLine="640" w:firstLineChars="200"/>
        <w:rPr>
          <w:rFonts w:ascii="Adobe 仿宋 Std R" w:hAnsi="Adobe 仿宋 Std R" w:eastAsia="Adobe 仿宋 Std R"/>
          <w:sz w:val="32"/>
          <w:szCs w:val="32"/>
        </w:rPr>
      </w:pP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二、支出科目</w:t>
      </w:r>
    </w:p>
    <w:p>
      <w:pPr>
        <w:widowControl/>
        <w:spacing w:line="600" w:lineRule="exact"/>
        <w:ind w:firstLine="640" w:firstLineChars="200"/>
        <w:jc w:val="left"/>
        <w:rPr>
          <w:rFonts w:hint="eastAsia" w:ascii="仿宋_GB2312" w:eastAsia="仿宋_GB2312"/>
          <w:color w:val="000000"/>
          <w:sz w:val="32"/>
          <w:szCs w:val="30"/>
          <w:lang w:eastAsia="zh-CN"/>
        </w:rPr>
      </w:pPr>
      <w:r>
        <w:rPr>
          <w:rFonts w:hint="eastAsia" w:ascii="仿宋_GB2312" w:eastAsia="仿宋_GB2312"/>
          <w:color w:val="000000"/>
          <w:sz w:val="32"/>
          <w:szCs w:val="30"/>
        </w:rPr>
        <w:t>对部门预算中涉及的支出功能分类科目（明细到项级），结合部门实际，参照《202</w:t>
      </w:r>
      <w:r>
        <w:rPr>
          <w:rFonts w:ascii="仿宋_GB2312" w:eastAsia="仿宋_GB2312"/>
          <w:color w:val="000000"/>
          <w:sz w:val="32"/>
          <w:szCs w:val="30"/>
        </w:rPr>
        <w:t>3</w:t>
      </w:r>
      <w:r>
        <w:rPr>
          <w:rFonts w:hint="eastAsia" w:ascii="仿宋_GB2312" w:eastAsia="仿宋_GB2312"/>
          <w:color w:val="000000"/>
          <w:sz w:val="32"/>
          <w:szCs w:val="30"/>
        </w:rPr>
        <w:t>年政府收支分类科目》的规范说明进行解释</w:t>
      </w:r>
      <w:r>
        <w:rPr>
          <w:rFonts w:hint="eastAsia" w:ascii="仿宋_GB2312" w:eastAsia="仿宋_GB2312"/>
          <w:color w:val="000000"/>
          <w:sz w:val="32"/>
          <w:szCs w:val="30"/>
          <w:lang w:eastAsia="zh-CN"/>
        </w:rPr>
        <w:t>。</w:t>
      </w:r>
    </w:p>
    <w:p>
      <w:pPr>
        <w:widowControl/>
        <w:spacing w:line="600" w:lineRule="exact"/>
        <w:ind w:firstLine="640" w:firstLineChars="200"/>
        <w:jc w:val="left"/>
        <w:rPr>
          <w:rFonts w:hint="eastAsia" w:ascii="仿宋_GB2312" w:eastAsia="仿宋_GB2312"/>
          <w:color w:val="000000"/>
          <w:sz w:val="32"/>
          <w:szCs w:val="30"/>
        </w:rPr>
      </w:pPr>
      <w:r>
        <w:rPr>
          <w:rFonts w:hint="eastAsia" w:ascii="仿宋_GB2312" w:eastAsia="仿宋_GB2312"/>
          <w:color w:val="000000"/>
          <w:sz w:val="32"/>
          <w:szCs w:val="30"/>
        </w:rPr>
        <w:t xml:space="preserve">“2010350”事业运营：反映事业单位的基本支出，不包括行政单位（包括实行公务员管理的事业单位）后勤服务中心、医务室等附属事业单位。 </w:t>
      </w:r>
    </w:p>
    <w:p>
      <w:pPr>
        <w:widowControl/>
        <w:spacing w:line="600" w:lineRule="exact"/>
        <w:ind w:firstLine="640" w:firstLineChars="200"/>
        <w:jc w:val="left"/>
        <w:rPr>
          <w:rFonts w:hint="eastAsia" w:ascii="仿宋_GB2312" w:eastAsia="仿宋_GB2312"/>
          <w:color w:val="000000"/>
          <w:sz w:val="32"/>
          <w:szCs w:val="30"/>
        </w:rPr>
      </w:pPr>
      <w:r>
        <w:rPr>
          <w:rFonts w:hint="eastAsia" w:ascii="仿宋_GB2312" w:eastAsia="仿宋_GB2312"/>
          <w:color w:val="000000"/>
          <w:sz w:val="32"/>
          <w:szCs w:val="30"/>
        </w:rPr>
        <w:t xml:space="preserve">“2010399”其他政府办公厅（室）及相关机构事务支出：反映上述项目以外的其他政府办公厅（室）相关机构事务支出。 </w:t>
      </w:r>
    </w:p>
    <w:p>
      <w:pPr>
        <w:widowControl/>
        <w:spacing w:line="600" w:lineRule="exact"/>
        <w:ind w:firstLine="640" w:firstLineChars="200"/>
        <w:jc w:val="left"/>
        <w:rPr>
          <w:rFonts w:hint="eastAsia" w:ascii="仿宋_GB2312" w:eastAsia="仿宋_GB2312"/>
          <w:color w:val="000000"/>
          <w:sz w:val="32"/>
          <w:szCs w:val="30"/>
        </w:rPr>
      </w:pPr>
      <w:r>
        <w:rPr>
          <w:rFonts w:hint="eastAsia" w:ascii="仿宋_GB2312" w:eastAsia="仿宋_GB2312"/>
          <w:color w:val="000000"/>
          <w:sz w:val="32"/>
          <w:szCs w:val="30"/>
        </w:rPr>
        <w:t xml:space="preserve">“2011308”招商引资：反映用于招商引资、优化经济环境等方面的支出。 </w:t>
      </w:r>
    </w:p>
    <w:p>
      <w:pPr>
        <w:widowControl/>
        <w:spacing w:line="600" w:lineRule="exact"/>
        <w:ind w:firstLine="640" w:firstLineChars="200"/>
        <w:jc w:val="left"/>
        <w:rPr>
          <w:rFonts w:hint="eastAsia" w:ascii="仿宋_GB2312" w:eastAsia="仿宋_GB2312"/>
          <w:color w:val="000000"/>
          <w:sz w:val="32"/>
          <w:szCs w:val="30"/>
        </w:rPr>
      </w:pPr>
      <w:r>
        <w:rPr>
          <w:rFonts w:hint="eastAsia" w:ascii="仿宋_GB2312" w:eastAsia="仿宋_GB2312"/>
          <w:color w:val="000000"/>
          <w:sz w:val="32"/>
          <w:szCs w:val="30"/>
        </w:rPr>
        <w:t xml:space="preserve">“2210201”住房公积金：反映行政事业单位按人力资源和社会保障部、财政部规定的基本工资和津贴补贴以及规定比例为职工缴纳的住房公积金。 </w:t>
      </w:r>
    </w:p>
    <w:p>
      <w:pPr>
        <w:widowControl/>
        <w:spacing w:line="600" w:lineRule="exact"/>
        <w:ind w:firstLine="640" w:firstLineChars="200"/>
        <w:jc w:val="left"/>
        <w:rPr>
          <w:rFonts w:hint="eastAsia" w:ascii="仿宋_GB2312" w:eastAsia="仿宋_GB2312"/>
          <w:color w:val="000000"/>
          <w:sz w:val="32"/>
          <w:szCs w:val="30"/>
        </w:rPr>
      </w:pPr>
      <w:r>
        <w:rPr>
          <w:rFonts w:hint="eastAsia" w:ascii="仿宋_GB2312" w:eastAsia="仿宋_GB2312"/>
          <w:color w:val="000000"/>
          <w:sz w:val="32"/>
          <w:szCs w:val="30"/>
        </w:rPr>
        <w:t xml:space="preserve">“2129999”其他城乡社区支出：反映除上述项目以外其他用于城乡社区方面的支出。 </w:t>
      </w:r>
    </w:p>
    <w:p>
      <w:pPr>
        <w:widowControl/>
        <w:spacing w:line="600" w:lineRule="exact"/>
        <w:ind w:firstLine="640" w:firstLineChars="200"/>
        <w:jc w:val="left"/>
        <w:rPr>
          <w:rFonts w:ascii="仿宋_GB2312" w:eastAsia="仿宋_GB2312"/>
          <w:color w:val="000000"/>
          <w:sz w:val="32"/>
          <w:szCs w:val="30"/>
        </w:rPr>
      </w:pPr>
      <w:r>
        <w:rPr>
          <w:rFonts w:hint="eastAsia" w:ascii="仿宋_GB2312" w:eastAsia="仿宋_GB2312"/>
          <w:color w:val="000000"/>
          <w:sz w:val="32"/>
          <w:szCs w:val="30"/>
        </w:rPr>
        <w:t>“2150899”其他支持中小企业发展和管理支出：反映除上述项目以外其他用于支持中小企业发展和管理方面的支出。</w:t>
      </w:r>
    </w:p>
    <w:p>
      <w:pPr>
        <w:widowControl/>
        <w:spacing w:line="600" w:lineRule="exact"/>
        <w:ind w:firstLine="640" w:firstLineChars="200"/>
        <w:jc w:val="left"/>
        <w:rPr>
          <w:rFonts w:ascii="仿宋_GB2312" w:eastAsia="仿宋_GB2312"/>
          <w:color w:val="000000"/>
          <w:sz w:val="32"/>
          <w:szCs w:val="30"/>
        </w:rPr>
      </w:pP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三、相关专业名词</w:t>
      </w:r>
    </w:p>
    <w:p>
      <w:pPr>
        <w:widowControl/>
        <w:spacing w:line="600" w:lineRule="exact"/>
        <w:ind w:firstLine="640" w:firstLineChars="200"/>
        <w:jc w:val="left"/>
        <w:rPr>
          <w:rFonts w:ascii="仿宋_GB2312" w:eastAsia="仿宋_GB2312"/>
          <w:color w:val="000000"/>
          <w:sz w:val="32"/>
          <w:szCs w:val="30"/>
        </w:rPr>
      </w:pPr>
      <w:r>
        <w:rPr>
          <w:rFonts w:hint="eastAsia" w:ascii="仿宋_GB2312" w:eastAsia="仿宋_GB2312"/>
          <w:color w:val="000000"/>
          <w:sz w:val="32"/>
          <w:szCs w:val="30"/>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widowControl/>
        <w:spacing w:line="600" w:lineRule="exact"/>
        <w:ind w:firstLine="640" w:firstLineChars="200"/>
        <w:jc w:val="left"/>
        <w:rPr>
          <w:rFonts w:ascii="仿宋_GB2312" w:eastAsia="仿宋_GB2312"/>
          <w:color w:val="000000"/>
          <w:sz w:val="32"/>
          <w:szCs w:val="30"/>
        </w:rPr>
      </w:pPr>
      <w:r>
        <w:rPr>
          <w:rFonts w:hint="eastAsia" w:ascii="仿宋_GB2312" w:eastAsia="仿宋_GB2312"/>
          <w:color w:val="000000"/>
          <w:sz w:val="32"/>
          <w:szCs w:val="30"/>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CED008"/>
    <w:multiLevelType w:val="singleLevel"/>
    <w:tmpl w:val="DECED008"/>
    <w:lvl w:ilvl="0" w:tentative="0">
      <w:start w:val="2"/>
      <w:numFmt w:val="chineseCounting"/>
      <w:suff w:val="space"/>
      <w:lvlText w:val="第%1部分"/>
      <w:lvlJc w:val="left"/>
      <w:rPr>
        <w:rFonts w:hint="eastAsia"/>
      </w:rPr>
    </w:lvl>
  </w:abstractNum>
  <w:abstractNum w:abstractNumId="1">
    <w:nsid w:val="29F00608"/>
    <w:multiLevelType w:val="singleLevel"/>
    <w:tmpl w:val="29F0060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A4ZDVhOGUxZjBlODE2ZDQ3MzNhM2I1OTA0YTM1MDUifQ=="/>
  </w:docVars>
  <w:rsids>
    <w:rsidRoot w:val="00DF43D8"/>
    <w:rsid w:val="000001B2"/>
    <w:rsid w:val="000115C3"/>
    <w:rsid w:val="00014049"/>
    <w:rsid w:val="0001648A"/>
    <w:rsid w:val="00022CB3"/>
    <w:rsid w:val="00031749"/>
    <w:rsid w:val="00041EAA"/>
    <w:rsid w:val="00055F20"/>
    <w:rsid w:val="000630BE"/>
    <w:rsid w:val="0006515E"/>
    <w:rsid w:val="000801EA"/>
    <w:rsid w:val="00085227"/>
    <w:rsid w:val="000927A9"/>
    <w:rsid w:val="000963CD"/>
    <w:rsid w:val="00097B57"/>
    <w:rsid w:val="000A2066"/>
    <w:rsid w:val="000A693E"/>
    <w:rsid w:val="000B4F9E"/>
    <w:rsid w:val="000C6AF7"/>
    <w:rsid w:val="000E1BC2"/>
    <w:rsid w:val="000E6313"/>
    <w:rsid w:val="000F227D"/>
    <w:rsid w:val="000F2E5F"/>
    <w:rsid w:val="000F4BCE"/>
    <w:rsid w:val="00104F58"/>
    <w:rsid w:val="00105A38"/>
    <w:rsid w:val="00117D8C"/>
    <w:rsid w:val="00131F78"/>
    <w:rsid w:val="00143884"/>
    <w:rsid w:val="00144EB3"/>
    <w:rsid w:val="001823EA"/>
    <w:rsid w:val="00186709"/>
    <w:rsid w:val="00192620"/>
    <w:rsid w:val="00193C37"/>
    <w:rsid w:val="001C4ED5"/>
    <w:rsid w:val="001C6F31"/>
    <w:rsid w:val="001D2644"/>
    <w:rsid w:val="001E6FA2"/>
    <w:rsid w:val="001F1DED"/>
    <w:rsid w:val="0021331D"/>
    <w:rsid w:val="00213D4E"/>
    <w:rsid w:val="0022612A"/>
    <w:rsid w:val="00232A32"/>
    <w:rsid w:val="002436CD"/>
    <w:rsid w:val="00251AD0"/>
    <w:rsid w:val="00256522"/>
    <w:rsid w:val="00273EE1"/>
    <w:rsid w:val="00281E28"/>
    <w:rsid w:val="00283C63"/>
    <w:rsid w:val="00284437"/>
    <w:rsid w:val="00296654"/>
    <w:rsid w:val="002A02B4"/>
    <w:rsid w:val="002A1ED6"/>
    <w:rsid w:val="002A45BD"/>
    <w:rsid w:val="002B0263"/>
    <w:rsid w:val="002B128B"/>
    <w:rsid w:val="002B2D42"/>
    <w:rsid w:val="002C2478"/>
    <w:rsid w:val="002D2681"/>
    <w:rsid w:val="002D418E"/>
    <w:rsid w:val="002D497C"/>
    <w:rsid w:val="002E2EE9"/>
    <w:rsid w:val="0030186C"/>
    <w:rsid w:val="003057A1"/>
    <w:rsid w:val="0032092A"/>
    <w:rsid w:val="00334A98"/>
    <w:rsid w:val="003560FC"/>
    <w:rsid w:val="0036119C"/>
    <w:rsid w:val="00380DD1"/>
    <w:rsid w:val="00394DC6"/>
    <w:rsid w:val="003959F5"/>
    <w:rsid w:val="003A2923"/>
    <w:rsid w:val="003B68F4"/>
    <w:rsid w:val="003B76FD"/>
    <w:rsid w:val="003C0BFF"/>
    <w:rsid w:val="003C0D66"/>
    <w:rsid w:val="003C19AF"/>
    <w:rsid w:val="003C7840"/>
    <w:rsid w:val="003D0809"/>
    <w:rsid w:val="00406851"/>
    <w:rsid w:val="004345D9"/>
    <w:rsid w:val="00436836"/>
    <w:rsid w:val="0044016E"/>
    <w:rsid w:val="00446148"/>
    <w:rsid w:val="004535A0"/>
    <w:rsid w:val="004535AC"/>
    <w:rsid w:val="00456869"/>
    <w:rsid w:val="004664AF"/>
    <w:rsid w:val="00472987"/>
    <w:rsid w:val="00480768"/>
    <w:rsid w:val="00495985"/>
    <w:rsid w:val="00496629"/>
    <w:rsid w:val="004A0058"/>
    <w:rsid w:val="004B06B4"/>
    <w:rsid w:val="004D2293"/>
    <w:rsid w:val="004D46B3"/>
    <w:rsid w:val="004D6A23"/>
    <w:rsid w:val="004E0577"/>
    <w:rsid w:val="004E5555"/>
    <w:rsid w:val="004F51F3"/>
    <w:rsid w:val="004F5378"/>
    <w:rsid w:val="004F7260"/>
    <w:rsid w:val="005006DE"/>
    <w:rsid w:val="00502AB1"/>
    <w:rsid w:val="00516279"/>
    <w:rsid w:val="0052565B"/>
    <w:rsid w:val="00526265"/>
    <w:rsid w:val="00526CE0"/>
    <w:rsid w:val="00532264"/>
    <w:rsid w:val="00537603"/>
    <w:rsid w:val="00541FE6"/>
    <w:rsid w:val="00544895"/>
    <w:rsid w:val="00553AA6"/>
    <w:rsid w:val="0055670D"/>
    <w:rsid w:val="00571A5D"/>
    <w:rsid w:val="00580BF8"/>
    <w:rsid w:val="005828C8"/>
    <w:rsid w:val="005902D1"/>
    <w:rsid w:val="0059038A"/>
    <w:rsid w:val="005942E5"/>
    <w:rsid w:val="0059672A"/>
    <w:rsid w:val="00596957"/>
    <w:rsid w:val="005A3FD6"/>
    <w:rsid w:val="005C3DDD"/>
    <w:rsid w:val="005D7ACB"/>
    <w:rsid w:val="005F090C"/>
    <w:rsid w:val="005F35BD"/>
    <w:rsid w:val="005F69D4"/>
    <w:rsid w:val="00611FE7"/>
    <w:rsid w:val="006168F7"/>
    <w:rsid w:val="00623A52"/>
    <w:rsid w:val="00631E83"/>
    <w:rsid w:val="00631FA4"/>
    <w:rsid w:val="0063286F"/>
    <w:rsid w:val="00650900"/>
    <w:rsid w:val="00655E8B"/>
    <w:rsid w:val="00660CC3"/>
    <w:rsid w:val="006740FD"/>
    <w:rsid w:val="006833F4"/>
    <w:rsid w:val="006924DA"/>
    <w:rsid w:val="00696646"/>
    <w:rsid w:val="006A1709"/>
    <w:rsid w:val="006B2CA6"/>
    <w:rsid w:val="006C185B"/>
    <w:rsid w:val="006C3868"/>
    <w:rsid w:val="006E25EE"/>
    <w:rsid w:val="006E470E"/>
    <w:rsid w:val="006F20BD"/>
    <w:rsid w:val="00704CAB"/>
    <w:rsid w:val="00723F08"/>
    <w:rsid w:val="007424E0"/>
    <w:rsid w:val="00742D51"/>
    <w:rsid w:val="0075709B"/>
    <w:rsid w:val="007574FE"/>
    <w:rsid w:val="00777795"/>
    <w:rsid w:val="00777962"/>
    <w:rsid w:val="007913DC"/>
    <w:rsid w:val="00792A6C"/>
    <w:rsid w:val="0079393D"/>
    <w:rsid w:val="00796F4F"/>
    <w:rsid w:val="007A4D44"/>
    <w:rsid w:val="007B4314"/>
    <w:rsid w:val="007C27E0"/>
    <w:rsid w:val="007D4ACC"/>
    <w:rsid w:val="007F1616"/>
    <w:rsid w:val="007F5C86"/>
    <w:rsid w:val="007F79A6"/>
    <w:rsid w:val="00804C42"/>
    <w:rsid w:val="00823697"/>
    <w:rsid w:val="00846526"/>
    <w:rsid w:val="008506D9"/>
    <w:rsid w:val="00863898"/>
    <w:rsid w:val="00865CCE"/>
    <w:rsid w:val="00872CE4"/>
    <w:rsid w:val="00875B04"/>
    <w:rsid w:val="00875C3A"/>
    <w:rsid w:val="00876D17"/>
    <w:rsid w:val="00882C91"/>
    <w:rsid w:val="00884FAE"/>
    <w:rsid w:val="00894455"/>
    <w:rsid w:val="008979F6"/>
    <w:rsid w:val="008B30B9"/>
    <w:rsid w:val="008B52E8"/>
    <w:rsid w:val="008C011F"/>
    <w:rsid w:val="008C01B1"/>
    <w:rsid w:val="008C6EEE"/>
    <w:rsid w:val="008E1EFA"/>
    <w:rsid w:val="00902917"/>
    <w:rsid w:val="0091783F"/>
    <w:rsid w:val="0094115F"/>
    <w:rsid w:val="009421D2"/>
    <w:rsid w:val="0094514C"/>
    <w:rsid w:val="00946A59"/>
    <w:rsid w:val="009471C3"/>
    <w:rsid w:val="0095097A"/>
    <w:rsid w:val="009527A7"/>
    <w:rsid w:val="009557AC"/>
    <w:rsid w:val="00956999"/>
    <w:rsid w:val="009619B4"/>
    <w:rsid w:val="00964DCD"/>
    <w:rsid w:val="0097222E"/>
    <w:rsid w:val="00973905"/>
    <w:rsid w:val="0097415C"/>
    <w:rsid w:val="00984ACE"/>
    <w:rsid w:val="009A4624"/>
    <w:rsid w:val="009A7AB9"/>
    <w:rsid w:val="009B4813"/>
    <w:rsid w:val="009C2EBF"/>
    <w:rsid w:val="009E1C45"/>
    <w:rsid w:val="009E1F3F"/>
    <w:rsid w:val="009F72E5"/>
    <w:rsid w:val="00A0455D"/>
    <w:rsid w:val="00A10F16"/>
    <w:rsid w:val="00A2168A"/>
    <w:rsid w:val="00A33186"/>
    <w:rsid w:val="00A345A4"/>
    <w:rsid w:val="00A54282"/>
    <w:rsid w:val="00A55773"/>
    <w:rsid w:val="00A60B4D"/>
    <w:rsid w:val="00A81B89"/>
    <w:rsid w:val="00A81BA2"/>
    <w:rsid w:val="00AA4301"/>
    <w:rsid w:val="00AB4B24"/>
    <w:rsid w:val="00AB656D"/>
    <w:rsid w:val="00AB7307"/>
    <w:rsid w:val="00AC370A"/>
    <w:rsid w:val="00AD40D5"/>
    <w:rsid w:val="00AE09D7"/>
    <w:rsid w:val="00AF095D"/>
    <w:rsid w:val="00AF3859"/>
    <w:rsid w:val="00AF57C9"/>
    <w:rsid w:val="00AF62CD"/>
    <w:rsid w:val="00B128C8"/>
    <w:rsid w:val="00B15E09"/>
    <w:rsid w:val="00B169A7"/>
    <w:rsid w:val="00B348A8"/>
    <w:rsid w:val="00B5453F"/>
    <w:rsid w:val="00B619F8"/>
    <w:rsid w:val="00B6242B"/>
    <w:rsid w:val="00B71EBE"/>
    <w:rsid w:val="00B82840"/>
    <w:rsid w:val="00BA572C"/>
    <w:rsid w:val="00BB676A"/>
    <w:rsid w:val="00C03AFB"/>
    <w:rsid w:val="00C33157"/>
    <w:rsid w:val="00C35830"/>
    <w:rsid w:val="00C474E4"/>
    <w:rsid w:val="00C608F5"/>
    <w:rsid w:val="00C61B8F"/>
    <w:rsid w:val="00C644A7"/>
    <w:rsid w:val="00C771B3"/>
    <w:rsid w:val="00C803DA"/>
    <w:rsid w:val="00C82CA3"/>
    <w:rsid w:val="00CC076E"/>
    <w:rsid w:val="00CC1B30"/>
    <w:rsid w:val="00CC4504"/>
    <w:rsid w:val="00CC4FF5"/>
    <w:rsid w:val="00CC517F"/>
    <w:rsid w:val="00CD0083"/>
    <w:rsid w:val="00CD517A"/>
    <w:rsid w:val="00CE1A2B"/>
    <w:rsid w:val="00CE6F1B"/>
    <w:rsid w:val="00CE7185"/>
    <w:rsid w:val="00CF0A52"/>
    <w:rsid w:val="00D00272"/>
    <w:rsid w:val="00D01624"/>
    <w:rsid w:val="00D11449"/>
    <w:rsid w:val="00D14B5F"/>
    <w:rsid w:val="00D17D0A"/>
    <w:rsid w:val="00D20C6C"/>
    <w:rsid w:val="00D23489"/>
    <w:rsid w:val="00D3381E"/>
    <w:rsid w:val="00D36173"/>
    <w:rsid w:val="00D41219"/>
    <w:rsid w:val="00D524EE"/>
    <w:rsid w:val="00D666BC"/>
    <w:rsid w:val="00D678E3"/>
    <w:rsid w:val="00D86F52"/>
    <w:rsid w:val="00DA3C2B"/>
    <w:rsid w:val="00DD15FE"/>
    <w:rsid w:val="00DE2065"/>
    <w:rsid w:val="00DE20E0"/>
    <w:rsid w:val="00DE5904"/>
    <w:rsid w:val="00DE6773"/>
    <w:rsid w:val="00DF29E5"/>
    <w:rsid w:val="00DF2E83"/>
    <w:rsid w:val="00DF43D8"/>
    <w:rsid w:val="00E01C5E"/>
    <w:rsid w:val="00E04E74"/>
    <w:rsid w:val="00E11187"/>
    <w:rsid w:val="00E147FF"/>
    <w:rsid w:val="00E17924"/>
    <w:rsid w:val="00E17B11"/>
    <w:rsid w:val="00E23D75"/>
    <w:rsid w:val="00E32B10"/>
    <w:rsid w:val="00E34083"/>
    <w:rsid w:val="00E503CC"/>
    <w:rsid w:val="00E5794A"/>
    <w:rsid w:val="00E60E90"/>
    <w:rsid w:val="00E6284A"/>
    <w:rsid w:val="00E70025"/>
    <w:rsid w:val="00E83029"/>
    <w:rsid w:val="00E9213F"/>
    <w:rsid w:val="00E9293D"/>
    <w:rsid w:val="00E92A8B"/>
    <w:rsid w:val="00E97D8C"/>
    <w:rsid w:val="00EA3654"/>
    <w:rsid w:val="00EA36FC"/>
    <w:rsid w:val="00EB1DF2"/>
    <w:rsid w:val="00EB5768"/>
    <w:rsid w:val="00EB656D"/>
    <w:rsid w:val="00EB6777"/>
    <w:rsid w:val="00EC3DDF"/>
    <w:rsid w:val="00ED0D2B"/>
    <w:rsid w:val="00EE6568"/>
    <w:rsid w:val="00F01B58"/>
    <w:rsid w:val="00F11FE4"/>
    <w:rsid w:val="00F132AE"/>
    <w:rsid w:val="00F2583E"/>
    <w:rsid w:val="00F32E83"/>
    <w:rsid w:val="00F95E5A"/>
    <w:rsid w:val="00F975EB"/>
    <w:rsid w:val="00FA278B"/>
    <w:rsid w:val="00FA354D"/>
    <w:rsid w:val="00FA3B89"/>
    <w:rsid w:val="00FB1979"/>
    <w:rsid w:val="00FD29E0"/>
    <w:rsid w:val="00FD5EC9"/>
    <w:rsid w:val="00FE0E90"/>
    <w:rsid w:val="00FE32CC"/>
    <w:rsid w:val="00FF60EC"/>
    <w:rsid w:val="00FF6368"/>
    <w:rsid w:val="00FF7FED"/>
    <w:rsid w:val="067A6028"/>
    <w:rsid w:val="0C97247A"/>
    <w:rsid w:val="0DB3098E"/>
    <w:rsid w:val="0EE01909"/>
    <w:rsid w:val="144D5D1A"/>
    <w:rsid w:val="16F5513D"/>
    <w:rsid w:val="183208FE"/>
    <w:rsid w:val="1A9A68F5"/>
    <w:rsid w:val="1E222CBC"/>
    <w:rsid w:val="206D0602"/>
    <w:rsid w:val="22430342"/>
    <w:rsid w:val="2329689A"/>
    <w:rsid w:val="24FE5B05"/>
    <w:rsid w:val="25B931E9"/>
    <w:rsid w:val="2828673B"/>
    <w:rsid w:val="2A8C2814"/>
    <w:rsid w:val="2C57797E"/>
    <w:rsid w:val="324905BB"/>
    <w:rsid w:val="32D01B05"/>
    <w:rsid w:val="3328400E"/>
    <w:rsid w:val="35316DDB"/>
    <w:rsid w:val="355C7D01"/>
    <w:rsid w:val="3A841EE9"/>
    <w:rsid w:val="3A9F1A72"/>
    <w:rsid w:val="3B7D1841"/>
    <w:rsid w:val="3E70009E"/>
    <w:rsid w:val="3F383632"/>
    <w:rsid w:val="3F741368"/>
    <w:rsid w:val="4052753A"/>
    <w:rsid w:val="41A73354"/>
    <w:rsid w:val="47CC4398"/>
    <w:rsid w:val="47EF7803"/>
    <w:rsid w:val="4954591A"/>
    <w:rsid w:val="4F0B0812"/>
    <w:rsid w:val="4FBA1399"/>
    <w:rsid w:val="50320B41"/>
    <w:rsid w:val="53516268"/>
    <w:rsid w:val="55E52DA6"/>
    <w:rsid w:val="56C47F55"/>
    <w:rsid w:val="56E322E1"/>
    <w:rsid w:val="59C55518"/>
    <w:rsid w:val="59CF7A5A"/>
    <w:rsid w:val="5A1218E8"/>
    <w:rsid w:val="5B2D7FCE"/>
    <w:rsid w:val="5C555AB7"/>
    <w:rsid w:val="5CEC0DCC"/>
    <w:rsid w:val="5F681281"/>
    <w:rsid w:val="60A631F9"/>
    <w:rsid w:val="63E33020"/>
    <w:rsid w:val="67E1286C"/>
    <w:rsid w:val="6802622E"/>
    <w:rsid w:val="690A5DF3"/>
    <w:rsid w:val="6BE248E5"/>
    <w:rsid w:val="6C4C0AD1"/>
    <w:rsid w:val="6EDB6140"/>
    <w:rsid w:val="6F395A2B"/>
    <w:rsid w:val="6F9D39F9"/>
    <w:rsid w:val="7120295A"/>
    <w:rsid w:val="71E33685"/>
    <w:rsid w:val="73A85115"/>
    <w:rsid w:val="74032EFE"/>
    <w:rsid w:val="7772528F"/>
    <w:rsid w:val="78DB5B1E"/>
    <w:rsid w:val="7FB747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widowControl/>
      <w:spacing w:after="120"/>
      <w:jc w:val="left"/>
    </w:pPr>
    <w:rPr>
      <w:rFonts w:eastAsia="仿宋_GB2312"/>
      <w:kern w:val="0"/>
      <w:sz w:val="32"/>
      <w:szCs w:val="32"/>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row_tree_level_3"/>
    <w:basedOn w:val="6"/>
    <w:qFormat/>
    <w:uiPriority w:val="0"/>
  </w:style>
  <w:style w:type="character" w:customStyle="1" w:styleId="11">
    <w:name w:val="row_tree_level_4"/>
    <w:basedOn w:val="6"/>
    <w:qFormat/>
    <w:uiPriority w:val="0"/>
  </w:style>
  <w:style w:type="paragraph" w:customStyle="1" w:styleId="12">
    <w:name w:val="p0"/>
    <w:basedOn w:val="1"/>
    <w:qFormat/>
    <w:uiPriority w:val="0"/>
    <w:pPr>
      <w:widowControl/>
    </w:pPr>
    <w:rPr>
      <w:rFonts w:ascii="Times New Roman" w:hAnsi="Times New Roman" w:eastAsia="宋体" w:cs="Times New Roman"/>
      <w:kern w:val="0"/>
      <w:szCs w:val="21"/>
    </w:rPr>
  </w:style>
  <w:style w:type="character" w:customStyle="1" w:styleId="13">
    <w:name w:val="15"/>
    <w:basedOn w:val="6"/>
    <w:qFormat/>
    <w:uiPriority w:val="0"/>
    <w:rPr>
      <w:rFonts w:hint="default" w:ascii="Times New Roman" w:hAnsi="Times New Roman"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4262</Words>
  <Characters>4631</Characters>
  <Lines>53</Lines>
  <Paragraphs>15</Paragraphs>
  <TotalTime>0</TotalTime>
  <ScaleCrop>false</ScaleCrop>
  <LinksUpToDate>false</LinksUpToDate>
  <CharactersWithSpaces>4688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2015-04-23T05:26:00Z</dcterms:created>
  <dc:creator>NTKO</dc:creator>
  <cp:lastModifiedBy>Administrator</cp:lastModifiedBy>
  <cp:lastPrinted>2023-03-06T07:15:00Z</cp:lastPrinted>
  <dcterms:modified xsi:type="dcterms:W3CDTF">2023-04-17T01:41:01Z</dcterms:modified>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31403E213CD5405A95C57A408B375C80</vt:lpwstr>
  </property>
</Properties>
</file>