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eastAsia="zh-CN"/>
        </w:rPr>
        <w:t>南昌航空城管理委员会</w:t>
      </w:r>
      <w:r>
        <w:rPr>
          <w:rFonts w:hint="eastAsia" w:ascii="宋体" w:hAnsi="宋体" w:eastAsia="宋体" w:cs="宋体"/>
          <w:b/>
          <w:bCs/>
          <w:color w:val="000000"/>
          <w:kern w:val="0"/>
          <w:sz w:val="44"/>
          <w:szCs w:val="44"/>
        </w:rPr>
        <w:t>2023年单位预算</w:t>
      </w:r>
    </w:p>
    <w:p>
      <w:pPr>
        <w:pStyle w:val="13"/>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32"/>
          <w:szCs w:val="32"/>
        </w:rPr>
      </w:pPr>
    </w:p>
    <w:p>
      <w:pPr>
        <w:pStyle w:val="13"/>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6"/>
          <w:szCs w:val="36"/>
        </w:rPr>
        <w:t>目    录</w:t>
      </w:r>
    </w:p>
    <w:p>
      <w:pPr>
        <w:pStyle w:val="1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2"/>
          <w:szCs w:val="32"/>
        </w:rPr>
      </w:pPr>
    </w:p>
    <w:p>
      <w:pPr>
        <w:pStyle w:val="13"/>
        <w:keepNext w:val="0"/>
        <w:keepLines w:val="0"/>
        <w:pageBreakBefore w:val="0"/>
        <w:tabs>
          <w:tab w:val="right" w:pos="8306"/>
        </w:tabs>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南昌航空城管理委员会概况</w:t>
      </w:r>
      <w:r>
        <w:rPr>
          <w:rFonts w:hint="eastAsia" w:ascii="仿宋_GB2312" w:hAnsi="仿宋_GB2312" w:eastAsia="仿宋_GB2312" w:cs="仿宋_GB2312"/>
          <w:b/>
          <w:bCs/>
          <w:color w:val="000000"/>
          <w:sz w:val="32"/>
          <w:szCs w:val="32"/>
        </w:rPr>
        <w:tab/>
      </w:r>
    </w:p>
    <w:p>
      <w:pPr>
        <w:pStyle w:val="13"/>
        <w:keepNext w:val="0"/>
        <w:keepLines w:val="0"/>
        <w:pageBreakBefore w:val="0"/>
        <w:kinsoku/>
        <w:wordWrap/>
        <w:overflowPunct/>
        <w:topLinePunct w:val="0"/>
        <w:autoSpaceDE/>
        <w:autoSpaceDN/>
        <w:bidi w:val="0"/>
        <w:adjustRightInd/>
        <w:snapToGrid/>
        <w:spacing w:line="360" w:lineRule="auto"/>
        <w:ind w:firstLine="1120" w:firstLineChars="35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一、单位主要职责</w:t>
      </w:r>
    </w:p>
    <w:p>
      <w:pPr>
        <w:pStyle w:val="13"/>
        <w:keepNext w:val="0"/>
        <w:keepLines w:val="0"/>
        <w:pageBreakBefore w:val="0"/>
        <w:kinsoku/>
        <w:wordWrap/>
        <w:overflowPunct/>
        <w:topLinePunct w:val="0"/>
        <w:autoSpaceDE/>
        <w:autoSpaceDN/>
        <w:bidi w:val="0"/>
        <w:adjustRightInd/>
        <w:snapToGrid/>
        <w:spacing w:line="360" w:lineRule="auto"/>
        <w:ind w:firstLine="1280" w:firstLineChars="40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二、机构设置及人员情况</w:t>
      </w:r>
    </w:p>
    <w:p>
      <w:pPr>
        <w:pStyle w:val="13"/>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南昌航空城管理委员会2023年单位预算表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一、《收支预算总表》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二、《单位收入总表》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三、《单位支出总表》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四、《财政拨款收支总表》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五、《一般公共预算支出表》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六、《一般公共预算基本支出表》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七、《财政拨款“三公”经费支出表》</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八、《政府性基金预算支出表》</w:t>
      </w:r>
    </w:p>
    <w:p>
      <w:pPr>
        <w:pStyle w:val="13"/>
        <w:keepNext w:val="0"/>
        <w:keepLines w:val="0"/>
        <w:pageBreakBefore w:val="0"/>
        <w:tabs>
          <w:tab w:val="left" w:pos="6546"/>
        </w:tabs>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九、《国有资本经营预算支出表》</w:t>
      </w:r>
      <w:r>
        <w:rPr>
          <w:rFonts w:hint="eastAsia" w:ascii="仿宋_GB2312" w:hAnsi="仿宋_GB2312" w:eastAsia="仿宋_GB2312" w:cs="仿宋_GB2312"/>
          <w:kern w:val="2"/>
          <w:sz w:val="32"/>
          <w:szCs w:val="32"/>
        </w:rPr>
        <w:tab/>
      </w:r>
    </w:p>
    <w:p>
      <w:pPr>
        <w:pStyle w:val="13"/>
        <w:keepNext w:val="0"/>
        <w:keepLines w:val="0"/>
        <w:pageBreakBefore w:val="0"/>
        <w:tabs>
          <w:tab w:val="left" w:pos="6546"/>
        </w:tabs>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十、《项目绩效目标表》</w:t>
      </w:r>
    </w:p>
    <w:p>
      <w:pPr>
        <w:pStyle w:val="13"/>
        <w:keepNext w:val="0"/>
        <w:keepLines w:val="0"/>
        <w:pageBreakBefore w:val="0"/>
        <w:kinsoku/>
        <w:wordWrap/>
        <w:overflowPunct/>
        <w:topLinePunct w:val="0"/>
        <w:autoSpaceDE/>
        <w:autoSpaceDN/>
        <w:bidi w:val="0"/>
        <w:adjustRightInd/>
        <w:snapToGrid/>
        <w:spacing w:line="360" w:lineRule="auto"/>
        <w:ind w:firstLine="579" w:firstLineChars="200"/>
        <w:jc w:val="left"/>
        <w:textAlignment w:val="auto"/>
        <w:rPr>
          <w:rFonts w:hint="eastAsia" w:ascii="仿宋_GB2312" w:hAnsi="仿宋_GB2312" w:eastAsia="仿宋_GB2312" w:cs="仿宋_GB2312"/>
          <w:b/>
          <w:bCs/>
          <w:color w:val="000000"/>
          <w:w w:val="90"/>
          <w:sz w:val="32"/>
          <w:szCs w:val="32"/>
        </w:rPr>
      </w:pPr>
      <w:r>
        <w:rPr>
          <w:rFonts w:hint="eastAsia" w:ascii="仿宋_GB2312" w:hAnsi="仿宋_GB2312" w:eastAsia="仿宋_GB2312" w:cs="仿宋_GB2312"/>
          <w:b/>
          <w:bCs/>
          <w:color w:val="000000"/>
          <w:w w:val="90"/>
          <w:sz w:val="32"/>
          <w:szCs w:val="32"/>
        </w:rPr>
        <w:t>第三部分</w:t>
      </w:r>
      <w:r>
        <w:rPr>
          <w:rFonts w:hint="eastAsia" w:ascii="仿宋_GB2312" w:hAnsi="仿宋_GB2312" w:eastAsia="仿宋_GB2312" w:cs="仿宋_GB2312"/>
          <w:b/>
          <w:bCs/>
          <w:color w:val="000000"/>
          <w:w w:val="90"/>
          <w:sz w:val="32"/>
          <w:szCs w:val="32"/>
          <w:lang w:val="en-US" w:eastAsia="zh-CN"/>
        </w:rPr>
        <w:t xml:space="preserve">  </w:t>
      </w:r>
      <w:r>
        <w:rPr>
          <w:rFonts w:hint="eastAsia" w:ascii="仿宋_GB2312" w:hAnsi="仿宋_GB2312" w:eastAsia="仿宋_GB2312" w:cs="仿宋_GB2312"/>
          <w:b/>
          <w:bCs/>
          <w:color w:val="000000"/>
          <w:w w:val="90"/>
          <w:sz w:val="32"/>
          <w:szCs w:val="32"/>
        </w:rPr>
        <w:t>南昌航空城管理委员会2023年单位预算情况说明</w:t>
      </w:r>
    </w:p>
    <w:p>
      <w:pPr>
        <w:pStyle w:val="13"/>
        <w:keepNext w:val="0"/>
        <w:keepLines w:val="0"/>
        <w:pageBreakBefore w:val="0"/>
        <w:kinsoku/>
        <w:wordWrap/>
        <w:overflowPunct/>
        <w:topLinePunct w:val="0"/>
        <w:autoSpaceDE/>
        <w:autoSpaceDN/>
        <w:bidi w:val="0"/>
        <w:adjustRightInd/>
        <w:snapToGrid/>
        <w:spacing w:line="360" w:lineRule="auto"/>
        <w:ind w:firstLine="128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一、2023年单位预算收支情况说明</w:t>
      </w:r>
    </w:p>
    <w:p>
      <w:pPr>
        <w:pStyle w:val="13"/>
        <w:keepNext w:val="0"/>
        <w:keepLines w:val="0"/>
        <w:pageBreakBefore w:val="0"/>
        <w:kinsoku/>
        <w:wordWrap/>
        <w:overflowPunct/>
        <w:topLinePunct w:val="0"/>
        <w:autoSpaceDE/>
        <w:autoSpaceDN/>
        <w:bidi w:val="0"/>
        <w:adjustRightInd/>
        <w:snapToGrid/>
        <w:spacing w:line="360" w:lineRule="auto"/>
        <w:ind w:firstLine="1120" w:firstLineChars="35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二、2023年“三公”经费预算情况说明</w:t>
      </w:r>
    </w:p>
    <w:p>
      <w:pPr>
        <w:pStyle w:val="13"/>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名词解释</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南昌航空城管理委员会概况</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一、单位主要职责</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负责组织编制辖区发展方案；</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负责航空产业对外推介、宣传、招商引资等工作；</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负责国内外航空产业及通航发展情况的信息收集工作；</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负责辖区基础设施建设和企业用地、用房的规划与管理；</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协调驻辖区企业区、企业与各方面之间的关系；</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负责高新区管委会交办的其他工作。</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二、机构设置及人员情况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${page540426799.ds254512694_REP_JXJC_AGENCY_WZR_NAME}</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南昌航空城管理委员会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内设处室</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个，包括：</w:t>
      </w:r>
      <w:r>
        <w:rPr>
          <w:rFonts w:hint="eastAsia" w:ascii="仿宋_GB2312" w:hAnsi="仿宋_GB2312" w:eastAsia="仿宋_GB2312" w:cs="仿宋_GB2312"/>
          <w:sz w:val="32"/>
          <w:szCs w:val="32"/>
          <w:u w:val="single"/>
          <w:lang w:eastAsia="zh-CN"/>
        </w:rPr>
        <w:t>办公室、经济发展科、金融财务科</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编制人数</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，事业在职人数</w:t>
      </w:r>
      <w:r>
        <w:rPr>
          <w:rFonts w:hint="eastAsia" w:ascii="仿宋_GB2312" w:hAnsi="仿宋_GB2312" w:eastAsia="仿宋_GB2312" w:cs="仿宋_GB2312"/>
          <w:sz w:val="32"/>
          <w:szCs w:val="32"/>
          <w:lang w:val="en-US" w:eastAsia="zh-CN"/>
        </w:rPr>
        <w:t>9人，其他长期聘用人员5人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实有人数较上年减少7人。</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MERGEFIELD ${page540426799.ds254512694_REP_JXJC_AGENCY_WZR_NAME}</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lang w:eastAsia="zh-CN"/>
        </w:rPr>
        <w:t>南昌航空城管理委员会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sz w:val="32"/>
          <w:szCs w:val="32"/>
        </w:rPr>
        <w:t>2023年单位预算表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（详见附表</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360" w:lineRule="auto"/>
        <w:ind w:firstLine="579"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w w:val="90"/>
          <w:kern w:val="0"/>
          <w:sz w:val="32"/>
          <w:szCs w:val="32"/>
        </w:rPr>
        <w:t>第三部分</w:t>
      </w:r>
      <w:r>
        <w:rPr>
          <w:rFonts w:hint="eastAsia" w:ascii="仿宋_GB2312" w:hAnsi="仿宋_GB2312" w:eastAsia="仿宋_GB2312" w:cs="仿宋_GB2312"/>
          <w:b/>
          <w:w w:val="90"/>
          <w:kern w:val="0"/>
          <w:sz w:val="32"/>
          <w:szCs w:val="32"/>
          <w:lang w:val="en-US" w:eastAsia="zh-CN"/>
        </w:rPr>
        <w:t xml:space="preserve">  </w:t>
      </w:r>
      <w:r>
        <w:rPr>
          <w:rFonts w:hint="eastAsia" w:ascii="仿宋_GB2312" w:hAnsi="仿宋_GB2312" w:eastAsia="仿宋_GB2312" w:cs="仿宋_GB2312"/>
          <w:b/>
          <w:w w:val="90"/>
          <w:sz w:val="32"/>
          <w:szCs w:val="32"/>
        </w:rPr>
        <w:fldChar w:fldCharType="begin"/>
      </w:r>
      <w:r>
        <w:rPr>
          <w:rFonts w:hint="eastAsia" w:ascii="仿宋_GB2312" w:hAnsi="仿宋_GB2312" w:eastAsia="仿宋_GB2312" w:cs="仿宋_GB2312"/>
          <w:b/>
          <w:w w:val="90"/>
          <w:sz w:val="32"/>
          <w:szCs w:val="32"/>
        </w:rPr>
        <w:instrText xml:space="preserve">MERGEFIELD ${page540426799.ds254512694_REP_JXJC_AGENCY_WZR_NAME}</w:instrText>
      </w:r>
      <w:r>
        <w:rPr>
          <w:rFonts w:hint="eastAsia" w:ascii="仿宋_GB2312" w:hAnsi="仿宋_GB2312" w:eastAsia="仿宋_GB2312" w:cs="仿宋_GB2312"/>
          <w:b/>
          <w:w w:val="90"/>
          <w:sz w:val="32"/>
          <w:szCs w:val="32"/>
        </w:rPr>
        <w:fldChar w:fldCharType="separate"/>
      </w:r>
      <w:r>
        <w:rPr>
          <w:rFonts w:hint="eastAsia" w:ascii="仿宋_GB2312" w:hAnsi="仿宋_GB2312" w:eastAsia="仿宋_GB2312" w:cs="仿宋_GB2312"/>
          <w:b/>
          <w:w w:val="90"/>
          <w:sz w:val="32"/>
          <w:szCs w:val="32"/>
          <w:lang w:eastAsia="zh-CN"/>
        </w:rPr>
        <w:t>南昌航空城管理委员会</w:t>
      </w:r>
      <w:r>
        <w:rPr>
          <w:rFonts w:hint="eastAsia" w:ascii="仿宋_GB2312" w:hAnsi="仿宋_GB2312" w:eastAsia="仿宋_GB2312" w:cs="仿宋_GB2312"/>
          <w:w w:val="90"/>
          <w:sz w:val="32"/>
          <w:szCs w:val="32"/>
        </w:rPr>
        <w:fldChar w:fldCharType="end"/>
      </w:r>
      <w:r>
        <w:rPr>
          <w:rFonts w:hint="eastAsia" w:ascii="仿宋_GB2312" w:hAnsi="仿宋_GB2312" w:eastAsia="仿宋_GB2312" w:cs="仿宋_GB2312"/>
          <w:b/>
          <w:w w:val="90"/>
          <w:sz w:val="32"/>
          <w:szCs w:val="32"/>
        </w:rPr>
        <w:t>2023年单位预算情况说明</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一、2023年单位预算收支情况说明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(一)收入预算情况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2023年</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${page540426799.ds254512694_REP_JXJC_AGENCY_WZR_NAME}</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lang w:eastAsia="zh-CN"/>
        </w:rPr>
        <w:t>南昌航空城管理委员会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${page540426799.ds254512694_V_BGT_DEP_INCOME_DXQDW01_ZJ}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w:t>
      </w:r>
      <w:r>
        <w:rPr>
          <w:rFonts w:hint="eastAsia" w:ascii="仿宋_GB2312" w:hAnsi="仿宋_GB2312" w:eastAsia="仿宋_GB2312" w:cs="仿宋_GB2312"/>
          <w:kern w:val="0"/>
          <w:sz w:val="32"/>
          <w:szCs w:val="32"/>
          <w:lang w:val="en-US" w:eastAsia="zh-CN"/>
        </w:rPr>
        <w:t>1907.1</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kern w:val="0"/>
          <w:sz w:val="32"/>
          <w:szCs w:val="32"/>
          <w:u w:val="single"/>
          <w:lang w:val="en-US" w:eastAsia="zh-CN"/>
        </w:rPr>
        <w:t>484.67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，主要是因为增加了单位自有资金预算安排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${page540426799.ds254512694_V_BGT_DEP_INCOME_DXQDW01_SRXMMX}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kern w:val="0"/>
          <w:sz w:val="32"/>
          <w:szCs w:val="32"/>
          <w:lang w:val="en-US" w:eastAsia="zh-CN"/>
        </w:rPr>
        <w:t>1053.1</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u w:val="single"/>
          <w:lang w:val="en-US" w:eastAsia="zh-CN"/>
        </w:rPr>
        <w:t>369.33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Style w:val="12"/>
          <w:rFonts w:hint="eastAsia" w:ascii="仿宋_GB2312" w:hAnsi="仿宋_GB2312" w:eastAsia="仿宋_GB2312" w:cs="仿宋_GB2312"/>
          <w:sz w:val="32"/>
          <w:szCs w:val="32"/>
          <w:lang w:eastAsia="zh-CN"/>
        </w:rPr>
        <w:t>主要是因为单位职能调整后人员调出，导致人员经费和公用经费减少，同时部分项目经费安排减少</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(二)支出预算情况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2023年</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${page540426799.ds254512694_REP_JXJC_AGENCY_WZR_NAME}</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lang w:eastAsia="zh-CN"/>
        </w:rPr>
        <w:t>南昌航空城管理委员会</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${page540426799.ds357974894_REP_BGT_T_HC1100002019_DXQ02DW_S_ZJ}</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支出预算总额为</w:t>
      </w:r>
      <w:r>
        <w:rPr>
          <w:rStyle w:val="12"/>
          <w:rFonts w:hint="eastAsia" w:ascii="仿宋_GB2312" w:hAnsi="仿宋_GB2312" w:eastAsia="仿宋_GB2312" w:cs="仿宋_GB2312"/>
          <w:sz w:val="32"/>
          <w:szCs w:val="32"/>
          <w:lang w:val="en-US" w:eastAsia="zh-CN"/>
        </w:rPr>
        <w:t>1907.1</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lang w:val="en-US" w:eastAsia="zh-CN"/>
        </w:rPr>
        <w:t>484.67</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 xml:space="preserve"> 其中：</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 xml:space="preserve">按支出项目类别划分： </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${page540426799.ds357974894_REP_BGT_T_HC1100002019_DXQ02DW_JBZCQK}</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Style w:val="12"/>
          <w:rFonts w:hint="eastAsia" w:ascii="仿宋_GB2312" w:hAnsi="仿宋_GB2312" w:eastAsia="仿宋_GB2312" w:cs="仿宋_GB2312"/>
          <w:sz w:val="32"/>
          <w:szCs w:val="32"/>
          <w:lang w:val="en-US" w:eastAsia="zh-CN"/>
        </w:rPr>
        <w:t>694.4</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178.3</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，主要是因为单位职能调整后人员调出，导致人员经费和公用经费减少</w:t>
      </w:r>
      <w:r>
        <w:rPr>
          <w:rStyle w:val="12"/>
          <w:rFonts w:hint="eastAsia" w:ascii="仿宋_GB2312" w:hAnsi="仿宋_GB2312" w:eastAsia="仿宋_GB2312" w:cs="仿宋_GB2312"/>
          <w:sz w:val="32"/>
          <w:szCs w:val="32"/>
        </w:rPr>
        <w:t>;其中：工资福利支出</w:t>
      </w:r>
      <w:r>
        <w:rPr>
          <w:rStyle w:val="12"/>
          <w:rFonts w:hint="eastAsia" w:ascii="仿宋_GB2312" w:hAnsi="仿宋_GB2312" w:eastAsia="仿宋_GB2312" w:cs="仿宋_GB2312"/>
          <w:sz w:val="32"/>
          <w:szCs w:val="32"/>
          <w:lang w:val="en-US" w:eastAsia="zh-CN"/>
        </w:rPr>
        <w:t>680</w:t>
      </w:r>
      <w:r>
        <w:rPr>
          <w:rStyle w:val="12"/>
          <w:rFonts w:hint="eastAsia" w:ascii="仿宋_GB2312" w:hAnsi="仿宋_GB2312" w:eastAsia="仿宋_GB2312" w:cs="仿宋_GB2312"/>
          <w:sz w:val="32"/>
          <w:szCs w:val="32"/>
        </w:rPr>
        <w:t>万元,商品和服务支出</w:t>
      </w:r>
      <w:r>
        <w:rPr>
          <w:rStyle w:val="12"/>
          <w:rFonts w:hint="eastAsia" w:ascii="仿宋_GB2312" w:hAnsi="仿宋_GB2312" w:eastAsia="仿宋_GB2312" w:cs="仿宋_GB2312"/>
          <w:sz w:val="32"/>
          <w:szCs w:val="32"/>
          <w:lang w:val="en-US" w:eastAsia="zh-CN"/>
        </w:rPr>
        <w:t>14.4</w:t>
      </w:r>
      <w:r>
        <w:rPr>
          <w:rStyle w:val="12"/>
          <w:rFonts w:hint="eastAsia" w:ascii="仿宋_GB2312" w:hAnsi="仿宋_GB2312" w:eastAsia="仿宋_GB2312" w:cs="仿宋_GB2312"/>
          <w:sz w:val="32"/>
          <w:szCs w:val="32"/>
        </w:rPr>
        <w:t>万元,对个人和家庭的补助</w:t>
      </w:r>
      <w:r>
        <w:rPr>
          <w:rStyle w:val="12"/>
          <w:rFonts w:hint="eastAsia" w:ascii="仿宋_GB2312" w:hAnsi="仿宋_GB2312" w:eastAsia="仿宋_GB2312" w:cs="仿宋_GB2312"/>
          <w:sz w:val="32"/>
          <w:szCs w:val="32"/>
          <w:lang w:val="en-US" w:eastAsia="zh-CN"/>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${page540426799.ds357974894_REP_BGT_T_HC1100002019_DXQ02DW_XMZCQK}</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Style w:val="12"/>
          <w:rFonts w:hint="eastAsia" w:ascii="仿宋_GB2312" w:hAnsi="仿宋_GB2312" w:eastAsia="仿宋_GB2312" w:cs="仿宋_GB2312"/>
          <w:sz w:val="32"/>
          <w:szCs w:val="32"/>
          <w:lang w:val="en-US" w:eastAsia="zh-CN"/>
        </w:rPr>
        <w:t>1212.7</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lang w:val="en-US" w:eastAsia="zh-CN"/>
        </w:rPr>
        <w:t>662.97</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eastAsia="zh-CN"/>
        </w:rPr>
        <w:t>主要是因为增加了其他资金预算</w:t>
      </w:r>
      <w:r>
        <w:rPr>
          <w:rStyle w:val="12"/>
          <w:rFonts w:hint="eastAsia" w:ascii="仿宋_GB2312" w:hAnsi="仿宋_GB2312" w:eastAsia="仿宋_GB2312" w:cs="仿宋_GB2312"/>
          <w:sz w:val="32"/>
          <w:szCs w:val="32"/>
          <w:lang w:eastAsia="zh-CN"/>
        </w:rPr>
        <w:t>，</w:t>
      </w:r>
      <w:r>
        <w:rPr>
          <w:rStyle w:val="12"/>
          <w:rFonts w:hint="eastAsia" w:ascii="仿宋_GB2312" w:hAnsi="仿宋_GB2312" w:eastAsia="仿宋_GB2312" w:cs="仿宋_GB2312"/>
          <w:sz w:val="32"/>
          <w:szCs w:val="32"/>
        </w:rPr>
        <w:t>其中：商品和服务支出</w:t>
      </w:r>
      <w:r>
        <w:rPr>
          <w:rStyle w:val="12"/>
          <w:rFonts w:hint="eastAsia" w:ascii="仿宋_GB2312" w:hAnsi="仿宋_GB2312" w:eastAsia="仿宋_GB2312" w:cs="仿宋_GB2312"/>
          <w:sz w:val="32"/>
          <w:szCs w:val="32"/>
          <w:lang w:val="en-US" w:eastAsia="zh-CN"/>
        </w:rPr>
        <w:t>436.2</w:t>
      </w:r>
      <w:r>
        <w:rPr>
          <w:rStyle w:val="12"/>
          <w:rFonts w:hint="eastAsia" w:ascii="仿宋_GB2312" w:hAnsi="仿宋_GB2312" w:eastAsia="仿宋_GB2312" w:cs="仿宋_GB2312"/>
          <w:sz w:val="32"/>
          <w:szCs w:val="32"/>
        </w:rPr>
        <w:t>万元,资本性支出</w:t>
      </w:r>
      <w:r>
        <w:rPr>
          <w:rStyle w:val="12"/>
          <w:rFonts w:hint="eastAsia" w:ascii="仿宋_GB2312" w:hAnsi="仿宋_GB2312" w:eastAsia="仿宋_GB2312" w:cs="仿宋_GB2312"/>
          <w:sz w:val="32"/>
          <w:szCs w:val="32"/>
          <w:lang w:val="en-US" w:eastAsia="zh-CN"/>
        </w:rPr>
        <w:t>776.5</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sz w:val="32"/>
          <w:szCs w:val="32"/>
        </w:rPr>
        <w:t xml:space="preserve">按支出功能科目划分： </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${page540426799.ds197859873_REP_BGT_T_HC1100002019DXQ01DW_GNZJMX}</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Style w:val="12"/>
          <w:rFonts w:hint="eastAsia" w:ascii="仿宋_GB2312" w:hAnsi="仿宋_GB2312" w:eastAsia="仿宋_GB2312" w:cs="仿宋_GB2312"/>
          <w:sz w:val="32"/>
          <w:szCs w:val="32"/>
          <w:lang w:val="en-US" w:eastAsia="zh-CN"/>
        </w:rPr>
        <w:t>927.1</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402.36</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，主要是因为单位职能调整后人员调出，导致人员经费和公用经费减少</w:t>
      </w:r>
      <w:r>
        <w:rPr>
          <w:rStyle w:val="12"/>
          <w:rFonts w:hint="eastAsia" w:ascii="仿宋_GB2312" w:hAnsi="仿宋_GB2312" w:eastAsia="仿宋_GB2312" w:cs="仿宋_GB2312"/>
          <w:sz w:val="32"/>
          <w:szCs w:val="32"/>
        </w:rPr>
        <w:t>;社会保障和就业支出</w:t>
      </w:r>
      <w:r>
        <w:rPr>
          <w:rStyle w:val="12"/>
          <w:rFonts w:hint="eastAsia" w:ascii="仿宋_GB2312" w:hAnsi="仿宋_GB2312" w:eastAsia="仿宋_GB2312" w:cs="仿宋_GB2312"/>
          <w:sz w:val="32"/>
          <w:szCs w:val="32"/>
          <w:lang w:val="en-US" w:eastAsia="zh-CN"/>
        </w:rPr>
        <w:t>29</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lang w:val="en-US" w:eastAsia="zh-CN"/>
        </w:rPr>
        <w:t>29</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，根据</w:t>
      </w:r>
      <w:r>
        <w:rPr>
          <w:rStyle w:val="12"/>
          <w:rFonts w:hint="eastAsia" w:ascii="仿宋_GB2312" w:hAnsi="仿宋_GB2312" w:eastAsia="仿宋_GB2312" w:cs="仿宋_GB2312"/>
          <w:sz w:val="32"/>
          <w:szCs w:val="32"/>
          <w:lang w:val="en-US" w:eastAsia="zh-CN"/>
        </w:rPr>
        <w:t>2023年</w:t>
      </w:r>
      <w:r>
        <w:rPr>
          <w:rStyle w:val="12"/>
          <w:rFonts w:hint="eastAsia" w:ascii="仿宋_GB2312" w:hAnsi="仿宋_GB2312" w:eastAsia="仿宋_GB2312" w:cs="仿宋_GB2312"/>
          <w:sz w:val="32"/>
          <w:szCs w:val="32"/>
          <w:lang w:eastAsia="zh-CN"/>
        </w:rPr>
        <w:t>预算编制要求，机关养老保险费用单独安排在此功能科目下</w:t>
      </w:r>
      <w:r>
        <w:rPr>
          <w:rStyle w:val="12"/>
          <w:rFonts w:hint="eastAsia" w:ascii="仿宋_GB2312" w:hAnsi="仿宋_GB2312" w:eastAsia="仿宋_GB2312" w:cs="仿宋_GB2312"/>
          <w:sz w:val="32"/>
          <w:szCs w:val="32"/>
        </w:rPr>
        <w:t>;卫生健康支出</w:t>
      </w:r>
      <w:r>
        <w:rPr>
          <w:rStyle w:val="12"/>
          <w:rFonts w:hint="eastAsia" w:ascii="仿宋_GB2312" w:hAnsi="仿宋_GB2312" w:eastAsia="仿宋_GB2312" w:cs="仿宋_GB2312"/>
          <w:sz w:val="32"/>
          <w:szCs w:val="32"/>
          <w:lang w:val="en-US" w:eastAsia="zh-CN"/>
        </w:rPr>
        <w:t>0</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0.97</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，由于单位职能调整，社会事务划给昌东镇管理，故本年未安排高龄老人补贴</w:t>
      </w:r>
      <w:r>
        <w:rPr>
          <w:rStyle w:val="12"/>
          <w:rFonts w:hint="eastAsia" w:ascii="仿宋_GB2312" w:hAnsi="仿宋_GB2312" w:eastAsia="仿宋_GB2312" w:cs="仿宋_GB2312"/>
          <w:sz w:val="32"/>
          <w:szCs w:val="32"/>
        </w:rPr>
        <w:t>;住房保障支出</w:t>
      </w:r>
      <w:r>
        <w:rPr>
          <w:rStyle w:val="12"/>
          <w:rFonts w:hint="eastAsia" w:ascii="仿宋_GB2312" w:hAnsi="仿宋_GB2312" w:eastAsia="仿宋_GB2312" w:cs="仿宋_GB2312"/>
          <w:sz w:val="32"/>
          <w:szCs w:val="32"/>
          <w:lang w:val="en-US" w:eastAsia="zh-CN"/>
        </w:rPr>
        <w:t>97</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lang w:val="en-US" w:eastAsia="zh-CN"/>
        </w:rPr>
        <w:t>5</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，新增了在编人员；其他支出</w:t>
      </w:r>
      <w:r>
        <w:rPr>
          <w:rStyle w:val="12"/>
          <w:rFonts w:hint="eastAsia" w:ascii="仿宋_GB2312" w:hAnsi="仿宋_GB2312" w:eastAsia="仿宋_GB2312" w:cs="仿宋_GB2312"/>
          <w:sz w:val="32"/>
          <w:szCs w:val="32"/>
          <w:lang w:val="en-US" w:eastAsia="zh-CN"/>
        </w:rPr>
        <w:t>854万元，</w:t>
      </w:r>
      <w:r>
        <w:rPr>
          <w:rStyle w:val="12"/>
          <w:rFonts w:hint="eastAsia" w:ascii="仿宋_GB2312" w:hAnsi="仿宋_GB2312" w:eastAsia="仿宋_GB2312" w:cs="仿宋_GB2312"/>
          <w:sz w:val="32"/>
          <w:szCs w:val="32"/>
        </w:rPr>
        <w:t>较上年预算安排增加</w:t>
      </w:r>
      <w:r>
        <w:rPr>
          <w:rStyle w:val="12"/>
          <w:rFonts w:hint="eastAsia" w:ascii="仿宋_GB2312" w:hAnsi="仿宋_GB2312" w:eastAsia="仿宋_GB2312" w:cs="仿宋_GB2312"/>
          <w:sz w:val="32"/>
          <w:szCs w:val="32"/>
          <w:u w:val="single"/>
          <w:lang w:val="en-US" w:eastAsia="zh-CN"/>
        </w:rPr>
        <w:t>854</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，其他支出全部为单位自有隐债资金，预计需要支付的隐债项目进度款</w:t>
      </w:r>
      <w:r>
        <w:rPr>
          <w:rStyle w:val="12"/>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sz w:val="32"/>
          <w:szCs w:val="32"/>
        </w:rPr>
        <w:t xml:space="preserve">按支出经济分类划分： </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${page540426799.ds197859873_REP_BGT_T_HC1100002019DXQ01DW_JJMX}</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工资福利支出</w:t>
      </w:r>
      <w:r>
        <w:rPr>
          <w:rStyle w:val="12"/>
          <w:rFonts w:hint="eastAsia" w:ascii="仿宋_GB2312" w:hAnsi="仿宋_GB2312" w:eastAsia="仿宋_GB2312" w:cs="仿宋_GB2312"/>
          <w:sz w:val="32"/>
          <w:szCs w:val="32"/>
          <w:lang w:val="en-US" w:eastAsia="zh-CN"/>
        </w:rPr>
        <w:t>680</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172</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，主要是因为单位职能调整后人员调出，导致人员经费减少</w:t>
      </w:r>
      <w:r>
        <w:rPr>
          <w:rStyle w:val="12"/>
          <w:rFonts w:hint="eastAsia" w:ascii="仿宋_GB2312" w:hAnsi="仿宋_GB2312" w:eastAsia="仿宋_GB2312" w:cs="仿宋_GB2312"/>
          <w:sz w:val="32"/>
          <w:szCs w:val="32"/>
        </w:rPr>
        <w:t>;商品和服务支出</w:t>
      </w:r>
      <w:r>
        <w:rPr>
          <w:rStyle w:val="12"/>
          <w:rFonts w:hint="eastAsia" w:ascii="仿宋_GB2312" w:hAnsi="仿宋_GB2312" w:eastAsia="仿宋_GB2312" w:cs="仿宋_GB2312"/>
          <w:sz w:val="32"/>
          <w:szCs w:val="32"/>
          <w:lang w:val="en-US" w:eastAsia="zh-CN"/>
        </w:rPr>
        <w:t>450.6</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101.86</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，主要是因为单位职能调整后人员调出，导致公用经费和项目减少</w:t>
      </w:r>
      <w:r>
        <w:rPr>
          <w:rStyle w:val="12"/>
          <w:rFonts w:hint="eastAsia" w:ascii="仿宋_GB2312" w:hAnsi="仿宋_GB2312" w:eastAsia="仿宋_GB2312" w:cs="仿宋_GB2312"/>
          <w:sz w:val="32"/>
          <w:szCs w:val="32"/>
        </w:rPr>
        <w:t>;对个人和家庭的补助</w:t>
      </w:r>
      <w:r>
        <w:rPr>
          <w:rStyle w:val="12"/>
          <w:rFonts w:hint="eastAsia" w:ascii="仿宋_GB2312" w:hAnsi="仿宋_GB2312" w:eastAsia="仿宋_GB2312" w:cs="仿宋_GB2312"/>
          <w:sz w:val="32"/>
          <w:szCs w:val="32"/>
          <w:lang w:val="en-US" w:eastAsia="zh-CN"/>
        </w:rPr>
        <w:t>0</w:t>
      </w:r>
      <w:r>
        <w:rPr>
          <w:rStyle w:val="12"/>
          <w:rFonts w:hint="eastAsia" w:ascii="仿宋_GB2312" w:hAnsi="仿宋_GB2312" w:eastAsia="仿宋_GB2312" w:cs="仿宋_GB2312"/>
          <w:sz w:val="32"/>
          <w:szCs w:val="32"/>
        </w:rPr>
        <w:t>万元,较上年预算安排</w:t>
      </w:r>
      <w:r>
        <w:rPr>
          <w:rStyle w:val="12"/>
          <w:rFonts w:hint="eastAsia" w:ascii="仿宋_GB2312" w:hAnsi="仿宋_GB2312" w:eastAsia="仿宋_GB2312" w:cs="仿宋_GB2312"/>
          <w:sz w:val="32"/>
          <w:szCs w:val="32"/>
          <w:lang w:eastAsia="zh-CN"/>
        </w:rPr>
        <w:t>减少</w:t>
      </w:r>
      <w:r>
        <w:rPr>
          <w:rStyle w:val="12"/>
          <w:rFonts w:hint="eastAsia" w:ascii="仿宋_GB2312" w:hAnsi="仿宋_GB2312" w:eastAsia="仿宋_GB2312" w:cs="仿宋_GB2312"/>
          <w:sz w:val="32"/>
          <w:szCs w:val="32"/>
          <w:u w:val="single"/>
          <w:lang w:val="en-US" w:eastAsia="zh-CN"/>
        </w:rPr>
        <w:t>0.97</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，由于单位职能调整，社会事务划给昌东镇管理，故本年未安排高龄老人补贴</w:t>
      </w:r>
      <w:r>
        <w:rPr>
          <w:rStyle w:val="12"/>
          <w:rFonts w:hint="eastAsia" w:ascii="仿宋_GB2312" w:hAnsi="仿宋_GB2312" w:eastAsia="仿宋_GB2312" w:cs="仿宋_GB2312"/>
          <w:sz w:val="32"/>
          <w:szCs w:val="32"/>
        </w:rPr>
        <w:t>;资本性支出</w:t>
      </w:r>
      <w:r>
        <w:rPr>
          <w:rStyle w:val="12"/>
          <w:rFonts w:hint="eastAsia" w:ascii="仿宋_GB2312" w:hAnsi="仿宋_GB2312" w:eastAsia="仿宋_GB2312" w:cs="仿宋_GB2312"/>
          <w:sz w:val="32"/>
          <w:szCs w:val="32"/>
          <w:lang w:val="en-US" w:eastAsia="zh-CN"/>
        </w:rPr>
        <w:t>776.5</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lang w:val="en-US" w:eastAsia="zh-CN"/>
        </w:rPr>
        <w:t>759.5</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，为单位自有隐债资金，预计需要支付的隐债项目进度款</w:t>
      </w:r>
      <w:r>
        <w:rPr>
          <w:rStyle w:val="12"/>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(三)财政拨款支出情况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2023年</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${page540426799.ds254512694_REP_JXJC_AGENCY_WZR_NAME}</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lang w:eastAsia="zh-CN"/>
        </w:rPr>
        <w:t>南昌航空城管理委员会</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${page540426799.ds357974894_REP_BGT_T_HC1100002019_DXQ02DW_S_CBXJ}</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财政拨款支出预算总额</w:t>
      </w:r>
      <w:r>
        <w:rPr>
          <w:rStyle w:val="12"/>
          <w:rFonts w:hint="eastAsia" w:ascii="仿宋_GB2312" w:hAnsi="仿宋_GB2312" w:eastAsia="仿宋_GB2312" w:cs="仿宋_GB2312"/>
          <w:sz w:val="32"/>
          <w:szCs w:val="32"/>
          <w:lang w:val="en-US" w:eastAsia="zh-CN"/>
        </w:rPr>
        <w:t>1053.1</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369.33</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，主要是因为单位职能调整后人员调出，导致人员经费和公用经费减少，同时部分项目经费减少</w:t>
      </w:r>
      <w:r>
        <w:rPr>
          <w:rStyle w:val="12"/>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 xml:space="preserve">按支出功能科目划分： </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${page540426799.ds197859873_REP_BGT_T_HC1100002019DXQ01DW_GNCBMX}</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Style w:val="12"/>
          <w:rFonts w:hint="eastAsia" w:ascii="仿宋_GB2312" w:hAnsi="仿宋_GB2312" w:eastAsia="仿宋_GB2312" w:cs="仿宋_GB2312"/>
          <w:sz w:val="32"/>
          <w:szCs w:val="32"/>
          <w:lang w:val="en-US" w:eastAsia="zh-CN"/>
        </w:rPr>
        <w:t>927.1</w:t>
      </w:r>
      <w:r>
        <w:rPr>
          <w:rStyle w:val="12"/>
          <w:rFonts w:hint="eastAsia" w:ascii="仿宋_GB2312" w:hAnsi="仿宋_GB2312" w:eastAsia="仿宋_GB2312" w:cs="仿宋_GB2312"/>
          <w:sz w:val="32"/>
          <w:szCs w:val="32"/>
        </w:rPr>
        <w:t>万元,社会保障和就业支出</w:t>
      </w:r>
      <w:r>
        <w:rPr>
          <w:rStyle w:val="12"/>
          <w:rFonts w:hint="eastAsia" w:ascii="仿宋_GB2312" w:hAnsi="仿宋_GB2312" w:eastAsia="仿宋_GB2312" w:cs="仿宋_GB2312"/>
          <w:sz w:val="32"/>
          <w:szCs w:val="32"/>
          <w:lang w:val="en-US" w:eastAsia="zh-CN"/>
        </w:rPr>
        <w:t>29</w:t>
      </w:r>
      <w:r>
        <w:rPr>
          <w:rStyle w:val="12"/>
          <w:rFonts w:hint="eastAsia" w:ascii="仿宋_GB2312" w:hAnsi="仿宋_GB2312" w:eastAsia="仿宋_GB2312" w:cs="仿宋_GB2312"/>
          <w:sz w:val="32"/>
          <w:szCs w:val="32"/>
        </w:rPr>
        <w:t>万元,卫生健康支出</w:t>
      </w:r>
      <w:r>
        <w:rPr>
          <w:rStyle w:val="12"/>
          <w:rFonts w:hint="eastAsia" w:ascii="仿宋_GB2312" w:hAnsi="仿宋_GB2312" w:eastAsia="仿宋_GB2312" w:cs="仿宋_GB2312"/>
          <w:sz w:val="32"/>
          <w:szCs w:val="32"/>
          <w:lang w:val="en-US" w:eastAsia="zh-CN"/>
        </w:rPr>
        <w:t>0</w:t>
      </w:r>
      <w:r>
        <w:rPr>
          <w:rStyle w:val="12"/>
          <w:rFonts w:hint="eastAsia" w:ascii="仿宋_GB2312" w:hAnsi="仿宋_GB2312" w:eastAsia="仿宋_GB2312" w:cs="仿宋_GB2312"/>
          <w:sz w:val="32"/>
          <w:szCs w:val="32"/>
        </w:rPr>
        <w:t>万元,住房保障支出</w:t>
      </w:r>
      <w:r>
        <w:rPr>
          <w:rStyle w:val="12"/>
          <w:rFonts w:hint="eastAsia" w:ascii="仿宋_GB2312" w:hAnsi="仿宋_GB2312" w:eastAsia="仿宋_GB2312" w:cs="仿宋_GB2312"/>
          <w:sz w:val="32"/>
          <w:szCs w:val="32"/>
          <w:lang w:val="en-US" w:eastAsia="zh-CN"/>
        </w:rPr>
        <w:t>97</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sz w:val="32"/>
          <w:szCs w:val="32"/>
        </w:rPr>
      </w:pPr>
      <w:r>
        <w:rPr>
          <w:rStyle w:val="12"/>
          <w:rFonts w:hint="eastAsia" w:ascii="仿宋_GB2312" w:hAnsi="仿宋_GB2312" w:eastAsia="仿宋_GB2312" w:cs="仿宋_GB2312"/>
          <w:sz w:val="32"/>
          <w:szCs w:val="32"/>
        </w:rPr>
        <w:t xml:space="preserve">按支出项目类别划分： </w:t>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${page540426799.ds357974894_REP_BGT_T_HC1100002019_DXQ02DW_JBZCQKCB}</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Style w:val="12"/>
          <w:rFonts w:hint="eastAsia" w:ascii="仿宋_GB2312" w:hAnsi="仿宋_GB2312" w:eastAsia="仿宋_GB2312" w:cs="仿宋_GB2312"/>
          <w:sz w:val="32"/>
          <w:szCs w:val="32"/>
          <w:lang w:val="en-US" w:eastAsia="zh-CN"/>
        </w:rPr>
        <w:t>694.4</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178.3</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，主要是因为单位职能调整后人员调出，导致人员经费和公用经费减少</w:t>
      </w:r>
      <w:r>
        <w:rPr>
          <w:rStyle w:val="12"/>
          <w:rFonts w:hint="eastAsia" w:ascii="仿宋_GB2312" w:hAnsi="仿宋_GB2312" w:eastAsia="仿宋_GB2312" w:cs="仿宋_GB2312"/>
          <w:sz w:val="32"/>
          <w:szCs w:val="32"/>
        </w:rPr>
        <w:t>;其中：工资福利支出</w:t>
      </w:r>
      <w:r>
        <w:rPr>
          <w:rStyle w:val="12"/>
          <w:rFonts w:hint="eastAsia" w:ascii="仿宋_GB2312" w:hAnsi="仿宋_GB2312" w:eastAsia="仿宋_GB2312" w:cs="仿宋_GB2312"/>
          <w:sz w:val="32"/>
          <w:szCs w:val="32"/>
          <w:lang w:val="en-US" w:eastAsia="zh-CN"/>
        </w:rPr>
        <w:t>680</w:t>
      </w:r>
      <w:r>
        <w:rPr>
          <w:rStyle w:val="12"/>
          <w:rFonts w:hint="eastAsia" w:ascii="仿宋_GB2312" w:hAnsi="仿宋_GB2312" w:eastAsia="仿宋_GB2312" w:cs="仿宋_GB2312"/>
          <w:sz w:val="32"/>
          <w:szCs w:val="32"/>
        </w:rPr>
        <w:t>万元,商品和服务支出</w:t>
      </w:r>
      <w:r>
        <w:rPr>
          <w:rStyle w:val="12"/>
          <w:rFonts w:hint="eastAsia" w:ascii="仿宋_GB2312" w:hAnsi="仿宋_GB2312" w:eastAsia="仿宋_GB2312" w:cs="仿宋_GB2312"/>
          <w:sz w:val="32"/>
          <w:szCs w:val="32"/>
          <w:lang w:val="en-US" w:eastAsia="zh-CN"/>
        </w:rPr>
        <w:t>14.4</w:t>
      </w:r>
      <w:r>
        <w:rPr>
          <w:rStyle w:val="12"/>
          <w:rFonts w:hint="eastAsia" w:ascii="仿宋_GB2312" w:hAnsi="仿宋_GB2312" w:eastAsia="仿宋_GB2312" w:cs="仿宋_GB2312"/>
          <w:sz w:val="32"/>
          <w:szCs w:val="32"/>
        </w:rPr>
        <w:t>万元,对个人和家庭的补助</w:t>
      </w:r>
      <w:r>
        <w:rPr>
          <w:rStyle w:val="12"/>
          <w:rFonts w:hint="eastAsia" w:ascii="仿宋_GB2312" w:hAnsi="仿宋_GB2312" w:eastAsia="仿宋_GB2312" w:cs="仿宋_GB2312"/>
          <w:sz w:val="32"/>
          <w:szCs w:val="32"/>
          <w:lang w:val="en-US" w:eastAsia="zh-CN"/>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${page540426799.ds357974894_REP_BGT_T_HC1100002019_DXQ02DW_XMZCQKCB}</w:instrText>
      </w:r>
      <w:r>
        <w:rPr>
          <w:rStyle w:val="12"/>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Style w:val="12"/>
          <w:rFonts w:hint="eastAsia" w:ascii="仿宋_GB2312" w:hAnsi="仿宋_GB2312" w:eastAsia="仿宋_GB2312" w:cs="仿宋_GB2312"/>
          <w:sz w:val="32"/>
          <w:szCs w:val="32"/>
          <w:lang w:val="en-US" w:eastAsia="zh-CN"/>
        </w:rPr>
        <w:t>358.7</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191.03</w:t>
      </w:r>
      <w:r>
        <w:rPr>
          <w:rStyle w:val="12"/>
          <w:rFonts w:hint="eastAsia" w:ascii="仿宋_GB2312" w:hAnsi="仿宋_GB2312" w:eastAsia="仿宋_GB2312" w:cs="仿宋_GB2312"/>
          <w:sz w:val="32"/>
          <w:szCs w:val="32"/>
        </w:rPr>
        <w:t>万元</w:t>
      </w:r>
      <w:r>
        <w:rPr>
          <w:rStyle w:val="12"/>
          <w:rFonts w:hint="eastAsia" w:ascii="仿宋_GB2312" w:hAnsi="仿宋_GB2312" w:eastAsia="仿宋_GB2312" w:cs="仿宋_GB2312"/>
          <w:sz w:val="32"/>
          <w:szCs w:val="32"/>
          <w:lang w:eastAsia="zh-CN"/>
        </w:rPr>
        <w:t>，主要是因为单位职能调整后人员调出，导致部分项目经费安排减少</w:t>
      </w:r>
      <w:r>
        <w:rPr>
          <w:rStyle w:val="12"/>
          <w:rFonts w:hint="eastAsia" w:ascii="仿宋_GB2312" w:hAnsi="仿宋_GB2312" w:eastAsia="仿宋_GB2312" w:cs="仿宋_GB2312"/>
          <w:sz w:val="32"/>
          <w:szCs w:val="32"/>
        </w:rPr>
        <w:t>;其中：商品和服务支出</w:t>
      </w:r>
      <w:r>
        <w:rPr>
          <w:rStyle w:val="12"/>
          <w:rFonts w:hint="eastAsia" w:ascii="仿宋_GB2312" w:hAnsi="仿宋_GB2312" w:eastAsia="仿宋_GB2312" w:cs="仿宋_GB2312"/>
          <w:sz w:val="32"/>
          <w:szCs w:val="32"/>
          <w:lang w:val="en-US" w:eastAsia="zh-CN"/>
        </w:rPr>
        <w:t>356.2</w:t>
      </w:r>
      <w:r>
        <w:rPr>
          <w:rStyle w:val="12"/>
          <w:rFonts w:hint="eastAsia" w:ascii="仿宋_GB2312" w:hAnsi="仿宋_GB2312" w:eastAsia="仿宋_GB2312" w:cs="仿宋_GB2312"/>
          <w:sz w:val="32"/>
          <w:szCs w:val="32"/>
        </w:rPr>
        <w:t>万元,资本性支出</w:t>
      </w:r>
      <w:r>
        <w:rPr>
          <w:rStyle w:val="12"/>
          <w:rFonts w:hint="eastAsia" w:ascii="仿宋_GB2312" w:hAnsi="仿宋_GB2312" w:eastAsia="仿宋_GB2312" w:cs="仿宋_GB2312"/>
          <w:sz w:val="32"/>
          <w:szCs w:val="32"/>
          <w:lang w:val="en-US" w:eastAsia="zh-CN"/>
        </w:rPr>
        <w:t>2.5</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(四)政府性基金情况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Style w:val="12"/>
          <w:rFonts w:hint="eastAsia" w:ascii="仿宋_GB2312" w:hAnsi="仿宋_GB2312" w:eastAsia="仿宋_GB2312" w:cs="仿宋_GB2312"/>
          <w:b w:val="0"/>
          <w:bCs/>
          <w:sz w:val="32"/>
          <w:szCs w:val="32"/>
          <w:lang w:eastAsia="zh-CN"/>
        </w:rPr>
      </w:pPr>
      <w:r>
        <w:rPr>
          <w:rStyle w:val="12"/>
          <w:rFonts w:hint="eastAsia" w:ascii="仿宋_GB2312" w:hAnsi="仿宋_GB2312" w:eastAsia="仿宋_GB2312" w:cs="仿宋_GB2312"/>
          <w:b w:val="0"/>
          <w:bCs/>
          <w:sz w:val="32"/>
          <w:szCs w:val="32"/>
        </w:rPr>
        <w:t>本单位没有使用政府性基金预算拨款安排的支出</w:t>
      </w:r>
      <w:r>
        <w:rPr>
          <w:rStyle w:val="12"/>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（五）国有资本经营情况</w:t>
      </w:r>
    </w:p>
    <w:p>
      <w:pPr>
        <w:keepNext w:val="0"/>
        <w:keepLines w:val="0"/>
        <w:pageBreakBefore w:val="0"/>
        <w:kinsoku/>
        <w:wordWrap/>
        <w:overflowPunct/>
        <w:topLinePunct w:val="0"/>
        <w:autoSpaceDE/>
        <w:autoSpaceDN/>
        <w:bidi w:val="0"/>
        <w:adjustRightInd/>
        <w:snapToGrid/>
        <w:spacing w:line="360" w:lineRule="auto"/>
        <w:ind w:left="638" w:leftChars="304" w:firstLine="0" w:firstLineChars="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val="0"/>
          <w:bCs/>
          <w:sz w:val="32"/>
          <w:szCs w:val="32"/>
        </w:rPr>
        <w:t>本单位没有使用国有资本经营预算拨款安排的支出</w:t>
      </w:r>
      <w:r>
        <w:rPr>
          <w:rStyle w:val="12"/>
          <w:rFonts w:hint="eastAsia" w:ascii="仿宋_GB2312" w:hAnsi="仿宋_GB2312" w:eastAsia="仿宋_GB2312" w:cs="仿宋_GB2312"/>
          <w:b w:val="0"/>
          <w:bCs/>
          <w:sz w:val="32"/>
          <w:szCs w:val="32"/>
          <w:lang w:eastAsia="zh-CN"/>
        </w:rPr>
        <w:t>。</w:t>
      </w:r>
      <w:r>
        <w:rPr>
          <w:rStyle w:val="12"/>
          <w:rFonts w:hint="eastAsia" w:ascii="仿宋_GB2312" w:hAnsi="仿宋_GB2312" w:eastAsia="仿宋_GB2312" w:cs="仿宋_GB2312"/>
          <w:b/>
          <w:sz w:val="32"/>
          <w:szCs w:val="32"/>
        </w:rPr>
        <w:t>(六)机关运行经费等重要事项的说明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sz w:val="32"/>
          <w:szCs w:val="32"/>
          <w:lang w:eastAsia="zh-CN"/>
        </w:rPr>
      </w:pPr>
      <w:r>
        <w:rPr>
          <w:rStyle w:val="12"/>
          <w:rFonts w:hint="eastAsia" w:ascii="仿宋_GB2312" w:hAnsi="仿宋_GB2312" w:eastAsia="仿宋_GB2312" w:cs="仿宋_GB2312"/>
          <w:b w:val="0"/>
          <w:bCs/>
          <w:sz w:val="32"/>
          <w:szCs w:val="32"/>
        </w:rPr>
        <w:t>本单位非行政参公单位，无机关运行经费</w:t>
      </w:r>
      <w:r>
        <w:rPr>
          <w:rStyle w:val="12"/>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(七)政府采购情况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2023年政府采购总额</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${page540426799.ds342351435_REP_3600_BGT_GOVPUR_DXQDW_CGGC}</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rPr>
        <w:t>(八)国有资产占有使用情况</w:t>
      </w: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 xml:space="preserve">月31日,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${page540426799.ds376136392_REP_JX_BAS_AGENCY_INFO_DXQRSDW_S_CLSYS}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2023年单位预算安排购置车辆</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辆，安排购置单位价值200万元以上大型设备具体为：</w:t>
      </w:r>
      <w:r>
        <w:rPr>
          <w:rFonts w:hint="eastAsia" w:ascii="仿宋_GB2312" w:hAnsi="仿宋_GB2312" w:eastAsia="仿宋_GB2312" w:cs="仿宋_GB2312"/>
          <w:sz w:val="32"/>
          <w:szCs w:val="32"/>
          <w:u w:val="single"/>
          <w:lang w:eastAsia="zh-CN"/>
        </w:rPr>
        <w:t>无</w:t>
      </w:r>
      <w:r>
        <w:rPr>
          <w:rFonts w:hint="eastAsia" w:ascii="仿宋_GB2312" w:hAnsi="仿宋_GB2312" w:eastAsia="仿宋_GB2312" w:cs="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2"/>
        <w:textAlignment w:val="auto"/>
        <w:rPr>
          <w:rStyle w:val="12"/>
          <w:rFonts w:hint="eastAsia" w:ascii="仿宋_GB2312" w:hAnsi="仿宋_GB2312" w:eastAsia="仿宋_GB2312" w:cs="仿宋_GB2312"/>
          <w:b/>
          <w:sz w:val="32"/>
          <w:szCs w:val="32"/>
        </w:rPr>
      </w:pPr>
      <w:r>
        <w:rPr>
          <w:rStyle w:val="12"/>
          <w:rFonts w:hint="eastAsia" w:ascii="仿宋_GB2312" w:hAnsi="仿宋_GB2312" w:eastAsia="仿宋_GB2312" w:cs="仿宋_GB2312"/>
          <w:b/>
          <w:sz w:val="32"/>
          <w:szCs w:val="32"/>
          <w:lang w:eastAsia="zh-CN"/>
        </w:rPr>
        <w:t>招商及宣传经费</w:t>
      </w:r>
      <w:r>
        <w:rPr>
          <w:rStyle w:val="12"/>
          <w:rFonts w:hint="eastAsia" w:ascii="仿宋_GB2312" w:hAnsi="仿宋_GB2312" w:eastAsia="仿宋_GB2312" w:cs="仿宋_GB2312"/>
          <w:b/>
          <w:sz w:val="32"/>
          <w:szCs w:val="32"/>
        </w:rPr>
        <w:t>项目情况说明</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项目概述</w:t>
      </w:r>
    </w:p>
    <w:p>
      <w:pPr>
        <w:pStyle w:val="2"/>
        <w:keepNext w:val="0"/>
        <w:keepLines w:val="0"/>
        <w:pageBreakBefore w:val="0"/>
        <w:kinsoku/>
        <w:wordWrap/>
        <w:overflowPunct/>
        <w:topLinePunct w:val="0"/>
        <w:autoSpaceDE/>
        <w:autoSpaceDN/>
        <w:bidi w:val="0"/>
        <w:spacing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保障单位招商引资及宣传工作顺利开展，完成主管部门分配的招商任务，吸引航空产业企业签约落户。</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立项依据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90"/>
          <w:sz w:val="32"/>
          <w:szCs w:val="32"/>
        </w:rPr>
        <w:t>《2021年冠名费合同及抄告单》</w:t>
      </w:r>
      <w:r>
        <w:rPr>
          <w:rFonts w:hint="eastAsia" w:ascii="仿宋_GB2312" w:hAnsi="仿宋_GB2312" w:eastAsia="仿宋_GB2312" w:cs="仿宋_GB2312"/>
          <w:w w:val="90"/>
          <w:sz w:val="32"/>
          <w:szCs w:val="32"/>
          <w:lang w:eastAsia="zh-CN"/>
        </w:rPr>
        <w:t>及单位职责</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实施主体</w:t>
      </w:r>
      <w:r>
        <w:rPr>
          <w:rFonts w:hint="eastAsia" w:ascii="仿宋_GB2312" w:hAnsi="仿宋_GB2312" w:eastAsia="仿宋_GB2312" w:cs="仿宋_GB2312"/>
          <w:sz w:val="32"/>
          <w:szCs w:val="32"/>
          <w:lang w:eastAsia="zh-CN"/>
        </w:rPr>
        <w:t>：南昌航空城管理委员会</w:t>
      </w: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2023年工作计划</w:t>
      </w: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2023年1月日至2023年12月31日</w:t>
      </w: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年度预算安排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220万元</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（项目绩效目标表见附表2）</w:t>
      </w:r>
    </w:p>
    <w:p>
      <w:pPr>
        <w:pStyle w:val="2"/>
        <w:ind w:left="0" w:leftChars="0"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2"/>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sz w:val="32"/>
          <w:szCs w:val="32"/>
        </w:rPr>
        <w:t>2023年“三公”经费预算情况说明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${page540426799.ds254512694_REP_JXJC_AGENCY_WZR_NAME}</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lang w:eastAsia="zh-CN"/>
        </w:rPr>
        <w:t>南昌航空城管理委员会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rPr>
        <w:t>"三公"经费财政拨款安排</w:t>
      </w:r>
      <w:r>
        <w:rPr>
          <w:rFonts w:hint="eastAsia" w:ascii="仿宋_GB2312" w:hAnsi="仿宋_GB2312" w:eastAsia="仿宋_GB2312" w:cs="仿宋_GB2312"/>
          <w:bCs/>
          <w:sz w:val="32"/>
          <w:szCs w:val="32"/>
          <w:lang w:val="en-US" w:eastAsia="zh-CN"/>
        </w:rPr>
        <w:t>68.5</w:t>
      </w:r>
      <w:r>
        <w:rPr>
          <w:rFonts w:hint="eastAsia" w:ascii="仿宋_GB2312" w:hAnsi="仿宋_GB2312" w:eastAsia="仿宋_GB2312" w:cs="仿宋_GB2312"/>
          <w:bCs/>
          <w:sz w:val="32"/>
          <w:szCs w:val="32"/>
        </w:rPr>
        <w:t>万元，其中：</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万元,比上年增</w:t>
      </w:r>
      <w:r>
        <w:rPr>
          <w:rFonts w:hint="eastAsia" w:ascii="仿宋_GB2312" w:hAnsi="仿宋_GB2312" w:eastAsia="仿宋_GB2312" w:cs="仿宋_GB2312"/>
          <w:bCs/>
          <w:sz w:val="32"/>
          <w:szCs w:val="32"/>
          <w:u w:val="single"/>
          <w:lang w:val="en-US" w:eastAsia="zh-CN"/>
        </w:rPr>
        <w:t xml:space="preserve"> 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u w:val="single"/>
          <w:lang w:eastAsia="zh-CN"/>
        </w:rPr>
        <w:t>与上年保持一致</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${page540426799.ds357974894_REP_BGT_T_HC1100002019_DXQ02DW_ZCSGJD}</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rPr>
        <w:t>万元,比上年增</w:t>
      </w:r>
      <w:r>
        <w:rPr>
          <w:rFonts w:hint="eastAsia" w:ascii="仿宋_GB2312" w:hAnsi="仿宋_GB2312" w:eastAsia="仿宋_GB2312" w:cs="仿宋_GB2312"/>
          <w:bCs/>
          <w:sz w:val="32"/>
          <w:szCs w:val="32"/>
          <w:u w:val="single"/>
          <w:lang w:val="en-US" w:eastAsia="zh-CN"/>
        </w:rPr>
        <w:t xml:space="preserve"> 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u w:val="single"/>
          <w:lang w:eastAsia="zh-CN"/>
        </w:rPr>
        <w:t>与上年保持一致</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万元,比上年增</w:t>
      </w:r>
      <w:r>
        <w:rPr>
          <w:rFonts w:hint="eastAsia" w:ascii="仿宋_GB2312" w:hAnsi="仿宋_GB2312" w:eastAsia="仿宋_GB2312" w:cs="仿宋_GB2312"/>
          <w:bCs/>
          <w:sz w:val="32"/>
          <w:szCs w:val="32"/>
          <w:u w:val="single"/>
          <w:lang w:val="en-US" w:eastAsia="zh-CN"/>
        </w:rPr>
        <w:t xml:space="preserve"> 0 </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u w:val="single"/>
          <w:lang w:eastAsia="zh-CN"/>
        </w:rPr>
        <w:t>与上年保持一致</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bCs/>
          <w:sz w:val="32"/>
          <w:szCs w:val="32"/>
          <w:u w:val="single"/>
          <w:lang w:val="en-US" w:eastAsia="zh-CN"/>
        </w:rPr>
        <w:t>2.5</w:t>
      </w:r>
      <w:r>
        <w:rPr>
          <w:rFonts w:hint="eastAsia" w:ascii="仿宋_GB2312" w:hAnsi="仿宋_GB2312" w:eastAsia="仿宋_GB2312" w:cs="仿宋_GB2312"/>
          <w:bCs/>
          <w:sz w:val="32"/>
          <w:szCs w:val="32"/>
        </w:rPr>
        <w:t>万元,比上年减</w:t>
      </w:r>
      <w:r>
        <w:rPr>
          <w:rFonts w:hint="eastAsia" w:ascii="仿宋_GB2312" w:hAnsi="仿宋_GB2312" w:eastAsia="仿宋_GB2312" w:cs="仿宋_GB2312"/>
          <w:bCs/>
          <w:sz w:val="32"/>
          <w:szCs w:val="32"/>
          <w:u w:val="single"/>
          <w:lang w:val="en-US" w:eastAsia="zh-CN"/>
        </w:rPr>
        <w:t>12.5</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u w:val="single"/>
          <w:lang w:eastAsia="zh-CN"/>
        </w:rPr>
        <w:t>根据管委会批准，上年度已采购一辆新能源电动车，本年安排的为上年度采购车辆的尾款</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${page400644146.ds215660413_REP_BGT_T_HC1100002019_DXQ02_ZCSGGZ}</w:instrText>
      </w:r>
      <w:r>
        <w:rPr>
          <w:rFonts w:hint="eastAsia" w:ascii="仿宋_GB2312" w:hAnsi="仿宋_GB2312" w:eastAsia="仿宋_GB2312" w:cs="仿宋_GB2312"/>
          <w:bCs/>
          <w:sz w:val="32"/>
          <w:szCs w:val="32"/>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Style w:val="12"/>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jc w:val="center"/>
        <w:textAlignment w:val="auto"/>
        <w:rPr>
          <w:rFonts w:hint="eastAsia" w:ascii="仿宋_GB2312" w:hAnsi="仿宋_GB2312" w:eastAsia="仿宋_GB2312" w:cs="仿宋_GB2312"/>
          <w:b/>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jc w:val="center"/>
        <w:textAlignment w:val="auto"/>
        <w:rPr>
          <w:rFonts w:hint="eastAsia" w:ascii="仿宋_GB2312" w:hAnsi="仿宋_GB2312" w:eastAsia="仿宋_GB2312" w:cs="仿宋_GB2312"/>
          <w:b/>
          <w:sz w:val="32"/>
          <w:szCs w:val="32"/>
        </w:rPr>
      </w:pP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sz w:val="32"/>
          <w:szCs w:val="32"/>
        </w:rPr>
      </w:pP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sz w:val="32"/>
          <w:szCs w:val="32"/>
        </w:rPr>
      </w:pP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sz w:val="32"/>
          <w:szCs w:val="32"/>
        </w:rPr>
      </w:pP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sz w:val="32"/>
          <w:szCs w:val="32"/>
        </w:rPr>
      </w:pP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sz w:val="32"/>
          <w:szCs w:val="32"/>
        </w:rPr>
        <w:t>第四部分</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名词解释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800" w:firstLineChars="250"/>
        <w:jc w:val="left"/>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803" w:firstLineChars="25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财政拨款：指</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级财政当年拨付的资金。</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教育收费资金收入：反映实行专项管理的高中以上学费、住宿费，高校委托培养费，函大、电大、夜大及短训班培训费等教育收费取得的收入。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事业收入：指事业单位开展专业业务活动及辅助活动取得的收入。</w:t>
      </w: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2"/>
        </w:rPr>
        <w:t>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2"/>
        </w:rPr>
        <w:t>附属单位上缴收入：反映事业单位附属的独立核算单位按规定标准或比例缴纳的各项收入。包括附属的事业单位上缴的收入和附属的企业上缴的利润等。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2"/>
        </w:rPr>
        <w:t>上级补助收入：反映事业单位从主管部门和上级单位取得的非财政补助收入。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360" w:lineRule="auto"/>
        <w:ind w:firstLine="636"/>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2"/>
        </w:rPr>
        <w:t>其他收入：指除财政拨款、事业收入、事业单位经营收入等以外的各项收入。</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2"/>
        </w:rPr>
        <w:t>使用非财政拨款结余：填列历年滚存的非限定用途的非统计财政拨款结余弥补2023年收支差额的数额。</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2"/>
        </w:rPr>
        <w:t>上年结转和结余：填列2022年全部结转和结余的资金数，包括当年结转结余资金和历年滚存结转结余资金。</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9" w:leftChars="0" w:firstLine="639"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2010350</w:t>
      </w:r>
      <w:r>
        <w:rPr>
          <w:rFonts w:hint="eastAsia" w:ascii="仿宋_GB2312" w:hAnsi="仿宋_GB2312" w:eastAsia="仿宋_GB2312" w:cs="仿宋_GB2312"/>
          <w:sz w:val="32"/>
          <w:szCs w:val="32"/>
        </w:rPr>
        <w:t>一般公共服务支出（类）政府办公厅（室）及相关机构事务（款）</w:t>
      </w:r>
      <w:r>
        <w:rPr>
          <w:rFonts w:hint="eastAsia" w:ascii="仿宋_GB2312" w:hAnsi="仿宋_GB2312" w:eastAsia="仿宋_GB2312" w:cs="仿宋_GB2312"/>
          <w:sz w:val="32"/>
          <w:szCs w:val="32"/>
          <w:lang w:eastAsia="zh-CN"/>
        </w:rPr>
        <w:t>事业运行</w:t>
      </w:r>
      <w:r>
        <w:rPr>
          <w:rFonts w:hint="eastAsia" w:ascii="仿宋_GB2312" w:hAnsi="仿宋_GB2312" w:eastAsia="仿宋_GB2312" w:cs="仿宋_GB2312"/>
          <w:sz w:val="32"/>
          <w:szCs w:val="32"/>
        </w:rPr>
        <w:t>（项）：反映事业单位的基本支出。</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9" w:leftChars="0" w:firstLine="639"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2010399</w:t>
      </w:r>
      <w:r>
        <w:rPr>
          <w:rFonts w:hint="eastAsia" w:ascii="仿宋_GB2312" w:hAnsi="仿宋_GB2312" w:eastAsia="仿宋_GB2312" w:cs="仿宋_GB2312"/>
          <w:sz w:val="32"/>
          <w:szCs w:val="32"/>
        </w:rPr>
        <w:t>一般公共服务支出（类）政府办公厅（室）及相关机构事务（款）其他政府办公厅（室）及相关机构事务支出（项）：反映事业单位其他政府办公厅（室）及相关机构事务的支出。</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9" w:leftChars="0" w:firstLine="639"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2011308</w:t>
      </w:r>
      <w:r>
        <w:rPr>
          <w:rFonts w:hint="eastAsia" w:ascii="仿宋_GB2312" w:hAnsi="仿宋_GB2312" w:eastAsia="仿宋_GB2312" w:cs="仿宋_GB2312"/>
          <w:sz w:val="32"/>
          <w:szCs w:val="32"/>
        </w:rPr>
        <w:t>一般公共服务</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商贸事务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招商引资</w:t>
      </w:r>
      <w:r>
        <w:rPr>
          <w:rFonts w:hint="eastAsia" w:ascii="仿宋_GB2312" w:hAnsi="仿宋_GB2312" w:eastAsia="仿宋_GB2312" w:cs="仿宋_GB2312"/>
          <w:sz w:val="32"/>
          <w:szCs w:val="32"/>
        </w:rPr>
        <w:t>（项）：反映</w:t>
      </w:r>
      <w:r>
        <w:rPr>
          <w:rFonts w:hint="eastAsia" w:ascii="仿宋_GB2312" w:hAnsi="仿宋_GB2312" w:eastAsia="仿宋_GB2312" w:cs="仿宋_GB2312"/>
          <w:sz w:val="32"/>
          <w:szCs w:val="32"/>
          <w:lang w:eastAsia="zh-CN"/>
        </w:rPr>
        <w:t>用于招商引资、优化经济环境等方面的</w:t>
      </w:r>
      <w:r>
        <w:rPr>
          <w:rFonts w:hint="eastAsia" w:ascii="仿宋_GB2312" w:hAnsi="仿宋_GB2312" w:eastAsia="仿宋_GB2312" w:cs="仿宋_GB2312"/>
          <w:sz w:val="32"/>
          <w:szCs w:val="32"/>
        </w:rPr>
        <w:t>支出。</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9" w:leftChars="0" w:firstLine="639"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2080505</w:t>
      </w:r>
      <w:r>
        <w:rPr>
          <w:rFonts w:hint="eastAsia" w:ascii="仿宋_GB2312" w:hAnsi="仿宋_GB2312" w:eastAsia="仿宋_GB2312" w:cs="仿宋_GB2312"/>
          <w:sz w:val="32"/>
          <w:szCs w:val="32"/>
        </w:rPr>
        <w:t>社会保障和就业支出（类）</w:t>
      </w:r>
      <w:r>
        <w:rPr>
          <w:rFonts w:hint="eastAsia" w:ascii="仿宋_GB2312" w:hAnsi="仿宋_GB2312" w:eastAsia="仿宋_GB2312" w:cs="仿宋_GB2312"/>
          <w:sz w:val="32"/>
          <w:szCs w:val="32"/>
          <w:lang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（项）：反映</w:t>
      </w:r>
      <w:r>
        <w:rPr>
          <w:rFonts w:hint="eastAsia" w:ascii="仿宋_GB2312" w:hAnsi="仿宋_GB2312" w:eastAsia="仿宋_GB2312" w:cs="仿宋_GB2312"/>
          <w:sz w:val="32"/>
          <w:szCs w:val="32"/>
          <w:lang w:eastAsia="zh-CN"/>
        </w:rPr>
        <w:t>机关事业单位实施养老保险制度由单位缴纳基本养老保险费支出</w:t>
      </w:r>
      <w:r>
        <w:rPr>
          <w:rFonts w:hint="eastAsia" w:ascii="仿宋_GB2312" w:hAnsi="仿宋_GB2312" w:eastAsia="仿宋_GB2312" w:cs="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9" w:leftChars="0" w:firstLine="639"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2210201</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2299999其他支出（类）其他支出（款）</w:t>
      </w:r>
      <w:r>
        <w:rPr>
          <w:rFonts w:hint="eastAsia" w:ascii="仿宋_GB2312" w:hAnsi="仿宋_GB2312" w:eastAsia="仿宋_GB2312" w:cs="仿宋_GB2312"/>
          <w:sz w:val="32"/>
          <w:szCs w:val="32"/>
          <w:lang w:eastAsia="zh-CN"/>
        </w:rPr>
        <w:t>其他支出（项）：反映其他不能划分到具体功能科目中的支出。</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三、相关专业名词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CDE30"/>
    <w:multiLevelType w:val="singleLevel"/>
    <w:tmpl w:val="048CDE30"/>
    <w:lvl w:ilvl="0" w:tentative="0">
      <w:start w:val="1"/>
      <w:numFmt w:val="chineseCounting"/>
      <w:suff w:val="nothing"/>
      <w:lvlText w:val="（%1）"/>
      <w:lvlJc w:val="left"/>
      <w:pPr>
        <w:ind w:left="-9"/>
      </w:pPr>
      <w:rPr>
        <w:rFonts w:hint="eastAsia" w:ascii="仿宋_GB2312" w:hAnsi="仿宋_GB2312" w:eastAsia="仿宋_GB2312" w:cs="仿宋_GB2312"/>
        <w:sz w:val="32"/>
        <w:szCs w:val="32"/>
      </w:rPr>
    </w:lvl>
  </w:abstractNum>
  <w:abstractNum w:abstractNumId="1">
    <w:nsid w:val="21BA178B"/>
    <w:multiLevelType w:val="singleLevel"/>
    <w:tmpl w:val="21BA178B"/>
    <w:lvl w:ilvl="0" w:tentative="0">
      <w:start w:val="9"/>
      <w:numFmt w:val="chineseCounting"/>
      <w:suff w:val="nothing"/>
      <w:lvlText w:val="（%1）"/>
      <w:lvlJc w:val="left"/>
      <w:rPr>
        <w:rFonts w:hint="eastAsia"/>
      </w:rPr>
    </w:lvl>
  </w:abstractNum>
  <w:abstractNum w:abstractNumId="2">
    <w:nsid w:val="29F00608"/>
    <w:multiLevelType w:val="singleLevel"/>
    <w:tmpl w:val="29F0060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jMDRjOTM5ZDBiYzU1NGUxYTQ1NDRlYTg1ZGMxM2I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565B"/>
    <w:rsid w:val="00526265"/>
    <w:rsid w:val="00526CE0"/>
    <w:rsid w:val="00532264"/>
    <w:rsid w:val="00541FE6"/>
    <w:rsid w:val="00544895"/>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0FF7FED"/>
    <w:rsid w:val="067A6028"/>
    <w:rsid w:val="0C97247A"/>
    <w:rsid w:val="0DB3098E"/>
    <w:rsid w:val="0FDB4E3C"/>
    <w:rsid w:val="19DD2EB7"/>
    <w:rsid w:val="1B80271E"/>
    <w:rsid w:val="206D0602"/>
    <w:rsid w:val="221758C2"/>
    <w:rsid w:val="22430342"/>
    <w:rsid w:val="23FE53AC"/>
    <w:rsid w:val="25B931E9"/>
    <w:rsid w:val="2828673B"/>
    <w:rsid w:val="2C57797E"/>
    <w:rsid w:val="2E827214"/>
    <w:rsid w:val="3328400E"/>
    <w:rsid w:val="3A841EE9"/>
    <w:rsid w:val="3A9F1A72"/>
    <w:rsid w:val="3B4133CE"/>
    <w:rsid w:val="3B7D1841"/>
    <w:rsid w:val="3F383632"/>
    <w:rsid w:val="4052753A"/>
    <w:rsid w:val="44DB1C35"/>
    <w:rsid w:val="4545159A"/>
    <w:rsid w:val="4A0B0175"/>
    <w:rsid w:val="4B6E0AC0"/>
    <w:rsid w:val="53516268"/>
    <w:rsid w:val="56C47F55"/>
    <w:rsid w:val="63E33020"/>
    <w:rsid w:val="66875DDE"/>
    <w:rsid w:val="6BE248E5"/>
    <w:rsid w:val="6C3020E1"/>
    <w:rsid w:val="6EDB6140"/>
    <w:rsid w:val="73A85115"/>
    <w:rsid w:val="75F80BED"/>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widowControl w:val="0"/>
      <w:spacing w:after="120"/>
      <w:ind w:left="420" w:leftChars="200" w:firstLine="420" w:firstLineChars="200"/>
      <w:jc w:val="both"/>
    </w:pPr>
    <w:rPr>
      <w:rFonts w:ascii="Calibri" w:hAnsi="Calibri" w:eastAsia="宋体" w:cs="宋体"/>
      <w:kern w:val="2"/>
      <w:sz w:val="21"/>
      <w:szCs w:val="24"/>
      <w:lang w:val="en-US" w:eastAsia="zh-CN" w:bidi="ar-SA"/>
    </w:rPr>
  </w:style>
  <w:style w:type="paragraph" w:styleId="3">
    <w:name w:val="Body Text Indent"/>
    <w:basedOn w:val="1"/>
    <w:qFormat/>
    <w:uiPriority w:val="99"/>
    <w:pPr>
      <w:spacing w:line="420" w:lineRule="exact"/>
      <w:ind w:firstLine="640" w:firstLineChars="200"/>
    </w:pPr>
    <w:rPr>
      <w:rFonts w:ascii="Cambria" w:hAnsi="Cambria" w:cs="Times New Roman"/>
      <w:kern w:val="0"/>
      <w:sz w:val="20"/>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row_tree_level_3"/>
    <w:basedOn w:val="7"/>
    <w:qFormat/>
    <w:uiPriority w:val="0"/>
  </w:style>
  <w:style w:type="character" w:customStyle="1" w:styleId="12">
    <w:name w:val="row_tree_level_4"/>
    <w:basedOn w:val="7"/>
    <w:qFormat/>
    <w:uiPriority w:val="0"/>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15"/>
    <w:basedOn w:val="7"/>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3572</Words>
  <Characters>3853</Characters>
  <Lines>53</Lines>
  <Paragraphs>15</Paragraphs>
  <TotalTime>0</TotalTime>
  <ScaleCrop>false</ScaleCrop>
  <LinksUpToDate>false</LinksUpToDate>
  <CharactersWithSpaces>3893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席玲云</cp:lastModifiedBy>
  <dcterms:modified xsi:type="dcterms:W3CDTF">2023-04-13T06:44:47Z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FF686F7F7DA64B6DAAD2A92D8565578D</vt:lpwstr>
  </property>
</Properties>
</file>